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48" w:rsidRPr="00BB7148" w:rsidRDefault="00BB7148" w:rsidP="00BB7148">
      <w:pPr>
        <w:widowControl/>
        <w:jc w:val="center"/>
        <w:outlineLvl w:val="0"/>
        <w:rPr>
          <w:rFonts w:ascii="Arial" w:eastAsia="宋体" w:hAnsi="Arial" w:cs="Arial"/>
          <w:b/>
          <w:bCs/>
          <w:color w:val="7D7A78"/>
          <w:kern w:val="36"/>
          <w:sz w:val="23"/>
          <w:szCs w:val="23"/>
        </w:rPr>
      </w:pPr>
      <w:r w:rsidRPr="00BB7148">
        <w:rPr>
          <w:rFonts w:ascii="Arial" w:eastAsia="宋体" w:hAnsi="Arial" w:cs="Arial"/>
          <w:b/>
          <w:bCs/>
          <w:color w:val="7D7A78"/>
          <w:kern w:val="36"/>
          <w:sz w:val="23"/>
          <w:szCs w:val="23"/>
        </w:rPr>
        <w:t>疾病预防控制中心建设标准</w:t>
      </w:r>
    </w:p>
    <w:p w:rsidR="00BB7148" w:rsidRPr="00BB7148" w:rsidRDefault="00BB7148" w:rsidP="00BB7148">
      <w:pPr>
        <w:widowControl/>
        <w:pBdr>
          <w:bottom w:val="dotted" w:sz="6" w:space="8" w:color="D6D3D3"/>
        </w:pBdr>
        <w:jc w:val="center"/>
        <w:rPr>
          <w:rFonts w:ascii="Arial" w:eastAsia="宋体" w:hAnsi="Arial" w:cs="Arial"/>
          <w:color w:val="7D7A78"/>
          <w:kern w:val="0"/>
          <w:sz w:val="18"/>
          <w:szCs w:val="18"/>
        </w:rPr>
      </w:pPr>
      <w:r>
        <w:rPr>
          <w:rFonts w:ascii="Arial" w:eastAsia="宋体" w:hAnsi="Arial" w:cs="Arial" w:hint="eastAsia"/>
          <w:color w:val="7D7A78"/>
          <w:kern w:val="0"/>
          <w:sz w:val="18"/>
          <w:szCs w:val="18"/>
        </w:rPr>
        <w:t>(</w:t>
      </w:r>
      <w:r>
        <w:rPr>
          <w:rFonts w:ascii="Arial" w:eastAsia="宋体" w:hAnsi="Arial" w:cs="Arial" w:hint="eastAsia"/>
          <w:color w:val="7D7A78"/>
          <w:kern w:val="0"/>
          <w:sz w:val="18"/>
          <w:szCs w:val="18"/>
        </w:rPr>
        <w:t>广州禄米实验室设备科技有限公司</w:t>
      </w:r>
      <w:r>
        <w:rPr>
          <w:rFonts w:ascii="Arial" w:eastAsia="宋体" w:hAnsi="Arial" w:cs="Arial" w:hint="eastAsia"/>
          <w:color w:val="7D7A78"/>
          <w:kern w:val="0"/>
          <w:sz w:val="18"/>
          <w:szCs w:val="18"/>
        </w:rPr>
        <w:t>)</w:t>
      </w:r>
    </w:p>
    <w:p w:rsidR="00BB7148" w:rsidRPr="00BB7148" w:rsidRDefault="00BB7148" w:rsidP="00BB7148">
      <w:pPr>
        <w:widowControl/>
        <w:spacing w:line="390" w:lineRule="atLeast"/>
        <w:jc w:val="left"/>
        <w:rPr>
          <w:rFonts w:ascii="Arial" w:eastAsia="宋体" w:hAnsi="Arial" w:cs="Arial"/>
          <w:color w:val="AFA7A7"/>
          <w:kern w:val="0"/>
          <w:sz w:val="18"/>
          <w:szCs w:val="18"/>
        </w:rPr>
      </w:pPr>
      <w:r w:rsidRPr="00BB7148">
        <w:rPr>
          <w:rFonts w:ascii="Arial" w:eastAsia="宋体" w:hAnsi="Arial" w:cs="Arial"/>
          <w:color w:val="AFA7A7"/>
          <w:kern w:val="0"/>
          <w:sz w:val="18"/>
          <w:szCs w:val="18"/>
        </w:rPr>
        <w:t>【导读】中华人民共和国住房和城乡建设部</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中华人民共和国国家发展和改革委员会</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疾病预防控制中心建设标准</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建标</w:t>
      </w:r>
      <w:r w:rsidRPr="00BB7148">
        <w:rPr>
          <w:rFonts w:ascii="Arial" w:eastAsia="宋体" w:hAnsi="Arial" w:cs="Arial"/>
          <w:color w:val="AFA7A7"/>
          <w:kern w:val="0"/>
          <w:sz w:val="18"/>
          <w:szCs w:val="18"/>
        </w:rPr>
        <w:t xml:space="preserve">1272009 </w:t>
      </w:r>
      <w:r w:rsidRPr="00BB7148">
        <w:rPr>
          <w:rFonts w:ascii="Arial" w:eastAsia="宋体" w:hAnsi="Arial" w:cs="Arial"/>
          <w:color w:val="AFA7A7"/>
          <w:kern w:val="0"/>
          <w:sz w:val="18"/>
          <w:szCs w:val="18"/>
        </w:rPr>
        <w:t>中华人民共和国卫生部</w:t>
      </w:r>
      <w:r w:rsidRPr="00BB7148">
        <w:rPr>
          <w:rFonts w:ascii="Arial" w:eastAsia="宋体" w:hAnsi="Arial" w:cs="Arial"/>
          <w:color w:val="AFA7A7"/>
          <w:kern w:val="0"/>
          <w:sz w:val="18"/>
          <w:szCs w:val="18"/>
        </w:rPr>
        <w:t xml:space="preserve"> 2009</w:t>
      </w:r>
      <w:r w:rsidRPr="00BB7148">
        <w:rPr>
          <w:rFonts w:ascii="Arial" w:eastAsia="宋体" w:hAnsi="Arial" w:cs="Arial"/>
          <w:color w:val="AFA7A7"/>
          <w:kern w:val="0"/>
          <w:sz w:val="18"/>
          <w:szCs w:val="18"/>
        </w:rPr>
        <w:t>年</w:t>
      </w:r>
      <w:r w:rsidRPr="00BB7148">
        <w:rPr>
          <w:rFonts w:ascii="Arial" w:eastAsia="宋体" w:hAnsi="Arial" w:cs="Arial"/>
          <w:color w:val="AFA7A7"/>
          <w:kern w:val="0"/>
          <w:sz w:val="18"/>
          <w:szCs w:val="18"/>
        </w:rPr>
        <w:t>7</w:t>
      </w:r>
      <w:r w:rsidRPr="00BB7148">
        <w:rPr>
          <w:rFonts w:ascii="Arial" w:eastAsia="宋体" w:hAnsi="Arial" w:cs="Arial"/>
          <w:color w:val="AFA7A7"/>
          <w:kern w:val="0"/>
          <w:sz w:val="18"/>
          <w:szCs w:val="18"/>
        </w:rPr>
        <w:t>月</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第一章</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总</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则</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第一条</w:t>
      </w:r>
      <w:r w:rsidRPr="00BB7148">
        <w:rPr>
          <w:rFonts w:ascii="Arial" w:eastAsia="宋体" w:hAnsi="Arial" w:cs="Arial"/>
          <w:color w:val="AFA7A7"/>
          <w:kern w:val="0"/>
          <w:sz w:val="18"/>
          <w:szCs w:val="18"/>
        </w:rPr>
        <w:t xml:space="preserve"> </w:t>
      </w:r>
      <w:r w:rsidRPr="00BB7148">
        <w:rPr>
          <w:rFonts w:ascii="Arial" w:eastAsia="宋体" w:hAnsi="Arial" w:cs="Arial"/>
          <w:color w:val="AFA7A7"/>
          <w:kern w:val="0"/>
          <w:sz w:val="18"/>
          <w:szCs w:val="18"/>
        </w:rPr>
        <w:t>为适应社会主义市场经济体制下卫生事业发展需要，提高疾病预防控制中心建设项目决策水平和工程建设管理水平，正确掌握建设标准，合</w:t>
      </w:r>
      <w:r w:rsidRPr="00BB7148">
        <w:rPr>
          <w:rFonts w:ascii="Arial" w:eastAsia="宋体" w:hAnsi="Arial" w:cs="Arial"/>
          <w:color w:val="AFA7A7"/>
          <w:kern w:val="0"/>
          <w:sz w:val="18"/>
          <w:szCs w:val="18"/>
        </w:rPr>
        <w:t>...</w:t>
      </w:r>
    </w:p>
    <w:tbl>
      <w:tblPr>
        <w:tblW w:w="0" w:type="auto"/>
        <w:jc w:val="center"/>
        <w:tblCellMar>
          <w:left w:w="0" w:type="dxa"/>
          <w:right w:w="0" w:type="dxa"/>
        </w:tblCellMar>
        <w:tblLook w:val="04A0"/>
      </w:tblPr>
      <w:tblGrid>
        <w:gridCol w:w="6210"/>
      </w:tblGrid>
      <w:tr w:rsidR="00BB7148" w:rsidRPr="00BB7148" w:rsidTr="00BB7148">
        <w:trPr>
          <w:jc w:val="center"/>
        </w:trPr>
        <w:tc>
          <w:tcPr>
            <w:tcW w:w="6210" w:type="dxa"/>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b/>
                <w:bCs/>
                <w:kern w:val="0"/>
                <w:sz w:val="24"/>
                <w:szCs w:val="24"/>
              </w:rPr>
              <w:t>中华人民共和国住房和城乡建设部</w:t>
            </w:r>
          </w:p>
        </w:tc>
      </w:tr>
      <w:tr w:rsidR="00BB7148" w:rsidRPr="00BB7148" w:rsidTr="00BB7148">
        <w:trPr>
          <w:jc w:val="center"/>
        </w:trPr>
        <w:tc>
          <w:tcPr>
            <w:tcW w:w="6210" w:type="dxa"/>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b/>
                <w:bCs/>
                <w:kern w:val="0"/>
                <w:sz w:val="24"/>
                <w:szCs w:val="24"/>
              </w:rPr>
              <w:t>中华人民共和国国家发展和改革委员会</w:t>
            </w:r>
          </w:p>
        </w:tc>
      </w:tr>
    </w:tbl>
    <w:p w:rsidR="00BB7148" w:rsidRPr="00BB7148" w:rsidRDefault="00BB7148" w:rsidP="00BB7148">
      <w:pPr>
        <w:widowControl/>
        <w:spacing w:line="390" w:lineRule="atLeast"/>
        <w:jc w:val="left"/>
        <w:rPr>
          <w:rFonts w:ascii="Arial" w:eastAsia="宋体" w:hAnsi="Arial" w:cs="Arial"/>
          <w:color w:val="7D7A78"/>
          <w:kern w:val="0"/>
          <w:sz w:val="18"/>
          <w:szCs w:val="18"/>
        </w:rPr>
      </w:pPr>
      <w:r w:rsidRPr="00BB7148">
        <w:rPr>
          <w:rFonts w:ascii="Arial" w:eastAsia="宋体" w:hAnsi="Arial" w:cs="Arial"/>
          <w:color w:val="7D7A78"/>
          <w:kern w:val="0"/>
          <w:sz w:val="18"/>
          <w:szCs w:val="18"/>
        </w:rPr>
        <w:t> </w:t>
      </w:r>
    </w:p>
    <w:p w:rsidR="00BB7148" w:rsidRPr="00BB7148" w:rsidRDefault="00BB7148" w:rsidP="00BB7148">
      <w:pPr>
        <w:widowControl/>
        <w:spacing w:line="390" w:lineRule="atLeast"/>
        <w:jc w:val="left"/>
        <w:rPr>
          <w:rFonts w:ascii="Arial" w:eastAsia="宋体" w:hAnsi="Arial" w:cs="Arial"/>
          <w:color w:val="7D7A78"/>
          <w:kern w:val="0"/>
          <w:sz w:val="18"/>
          <w:szCs w:val="18"/>
        </w:rPr>
      </w:pP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疾病预防控制中心建设标准</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建标</w:t>
      </w:r>
      <w:r w:rsidRPr="00BB7148">
        <w:rPr>
          <w:rFonts w:ascii="Arial" w:eastAsia="宋体" w:hAnsi="Arial" w:cs="Arial"/>
          <w:color w:val="7D7A78"/>
          <w:kern w:val="0"/>
          <w:sz w:val="18"/>
          <w:szCs w:val="18"/>
        </w:rPr>
        <w:t>127——2009</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中华人民共和国卫生部</w:t>
      </w:r>
      <w:r w:rsidRPr="00BB7148">
        <w:rPr>
          <w:rFonts w:ascii="Arial" w:eastAsia="宋体" w:hAnsi="Arial" w:cs="Arial"/>
          <w:color w:val="7D7A78"/>
          <w:kern w:val="0"/>
          <w:sz w:val="18"/>
          <w:szCs w:val="18"/>
        </w:rPr>
        <w:br/>
        <w:t>                                 2009</w:t>
      </w:r>
      <w:r w:rsidRPr="00BB7148">
        <w:rPr>
          <w:rFonts w:ascii="Arial" w:eastAsia="宋体" w:hAnsi="Arial" w:cs="Arial"/>
          <w:color w:val="7D7A78"/>
          <w:kern w:val="0"/>
          <w:sz w:val="18"/>
          <w:szCs w:val="18"/>
        </w:rPr>
        <w:t>年</w:t>
      </w:r>
      <w:r w:rsidRPr="00BB7148">
        <w:rPr>
          <w:rFonts w:ascii="Arial" w:eastAsia="宋体" w:hAnsi="Arial" w:cs="Arial"/>
          <w:color w:val="7D7A78"/>
          <w:kern w:val="0"/>
          <w:sz w:val="18"/>
          <w:szCs w:val="18"/>
        </w:rPr>
        <w:t>7</w:t>
      </w:r>
      <w:r w:rsidRPr="00BB7148">
        <w:rPr>
          <w:rFonts w:ascii="Arial" w:eastAsia="宋体" w:hAnsi="Arial" w:cs="Arial"/>
          <w:color w:val="7D7A78"/>
          <w:kern w:val="0"/>
          <w:sz w:val="18"/>
          <w:szCs w:val="18"/>
        </w:rPr>
        <w:t>月</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第一章</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总</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则</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第一条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为适应社会主义市场经济体制下卫生事业发展需要，提高疾病预防控制中心建设项目决策水平和工程建设管理水平，正确掌握建设标准，合理确定建设规模，满足疾病预防控制中心的功能需要，充分发挥投资效益，制定本建设标准。</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本建设标准适用于疾病预防控制中心的新建、改建、扩建项目。其他各级各类疾病预防控制机构相关功能用房建设可参照执行。</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本建设标准是合理确定项目建设水平的全国统一标准，是编制、评估、审批疾病预防控制中心建设项目可行性研究报告的重要依据，是审查项目设计和监督检查项目实施的重要尺度。</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第四条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疾病预防控制中心的建设，必须依据国家有关法律、法规和规定，与经济社会发展相适应，坚持科学、合理、经济、适用的原则</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从本地区疾病预防控制工作实际出发，正确处理现状与发展、需求与可能的</w:t>
      </w:r>
      <w:r w:rsidRPr="00BB7148">
        <w:rPr>
          <w:rFonts w:ascii="Arial" w:eastAsia="宋体" w:hAnsi="Arial" w:cs="Arial"/>
          <w:color w:val="7D7A78"/>
          <w:kern w:val="0"/>
          <w:sz w:val="18"/>
          <w:szCs w:val="18"/>
        </w:rPr>
        <w:lastRenderedPageBreak/>
        <w:t>关系，做到规模适宜、功能适用、装备适度、经济合理、安全卫生。</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第五条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疾病预防控制中心的建设，应符合所在地区城市总体规划和区域卫生规划的要求，充分利用现有卫生资源和基础设施条件，避免重复建设。</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第六条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疾病预防控制中心的建设除执行本建设标准外，尚应符合国家现行的有关标准、规范和定额、指标的规定。</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第二章</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建设规模与项目构成</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第七条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疾病预防控制中心建设规模，应根据其基本功能定位、机构人员编制数，结合区域经济发展水平与卫生事业发展规划的要求确定。</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第八条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疾病预防控制中心建设项目由房屋建筑、配套设施和场地组成。</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房屋建筑由实验用房、业务用房、保障用房和行政用房等部分构成。</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配套设施由供配电、弱电、空调、给排水、消防等各地区建筑基本要求且必须配备的设施，以及属于根据当地气等候条件特殊配置固体废弃物处理、采暖锅炉、蒸汽锅炉或热交换设施、废水处理、公共浴室等设施的，或根据城市规划、节能或环保要求而需要特殊配置的设施构成。</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场地由道路、绿地、停车场等部分构成。</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第九条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实验用房、业务用房、保障用房和行政用房建设规模应遵循满足基本功能、兼顾未来发展的原则确定。</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特殊用途实验用房应根据疾病预防控制工作的需要另行设置。</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配套设施的建设，应按照节约、通用的原则，充分利用社会公共设施。</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第三章</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建筑面积指标</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第十一条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疾病预防控制中心建筑面积指标应按省级</w:t>
      </w:r>
      <w:r w:rsidRPr="00BB7148">
        <w:rPr>
          <w:rFonts w:ascii="Arial" w:eastAsia="宋体" w:hAnsi="Arial" w:cs="Arial"/>
          <w:color w:val="7D7A78"/>
          <w:kern w:val="0"/>
          <w:sz w:val="18"/>
          <w:szCs w:val="18"/>
        </w:rPr>
        <w:t>70m</w:t>
      </w:r>
      <w:r w:rsidRPr="00BB7148">
        <w:rPr>
          <w:rFonts w:ascii="Arial" w:eastAsia="宋体" w:hAnsi="Arial" w:cs="Arial"/>
          <w:color w:val="7D7A78"/>
          <w:kern w:val="0"/>
          <w:sz w:val="18"/>
          <w:szCs w:val="18"/>
          <w:vertAlign w:val="superscript"/>
        </w:rPr>
        <w:t>2</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人、地级</w:t>
      </w:r>
      <w:r w:rsidRPr="00BB7148">
        <w:rPr>
          <w:rFonts w:ascii="Arial" w:eastAsia="宋体" w:hAnsi="Arial" w:cs="Arial"/>
          <w:color w:val="7D7A78"/>
          <w:kern w:val="0"/>
          <w:sz w:val="18"/>
          <w:szCs w:val="18"/>
        </w:rPr>
        <w:t>65m</w:t>
      </w:r>
      <w:r w:rsidRPr="00BB7148">
        <w:rPr>
          <w:rFonts w:ascii="Arial" w:eastAsia="宋体" w:hAnsi="Arial" w:cs="Arial"/>
          <w:color w:val="7D7A78"/>
          <w:kern w:val="0"/>
          <w:sz w:val="18"/>
          <w:szCs w:val="18"/>
          <w:vertAlign w:val="superscript"/>
        </w:rPr>
        <w:t>2</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人、县级</w:t>
      </w:r>
      <w:r w:rsidRPr="00BB7148">
        <w:rPr>
          <w:rFonts w:ascii="Arial" w:eastAsia="宋体" w:hAnsi="Arial" w:cs="Arial"/>
          <w:color w:val="7D7A78"/>
          <w:kern w:val="0"/>
          <w:sz w:val="18"/>
          <w:szCs w:val="18"/>
        </w:rPr>
        <w:t>60m</w:t>
      </w:r>
      <w:r w:rsidRPr="00BB7148">
        <w:rPr>
          <w:rFonts w:ascii="Arial" w:eastAsia="宋体" w:hAnsi="Arial" w:cs="Arial"/>
          <w:color w:val="7D7A78"/>
          <w:kern w:val="0"/>
          <w:sz w:val="18"/>
          <w:szCs w:val="18"/>
          <w:vertAlign w:val="superscript"/>
        </w:rPr>
        <w:t>2</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人确定（人指编制管理部门确定的疾病预防控制中心编制人员），原则上不超过表</w:t>
      </w:r>
      <w:r w:rsidRPr="00BB7148">
        <w:rPr>
          <w:rFonts w:ascii="Arial" w:eastAsia="宋体" w:hAnsi="Arial" w:cs="Arial"/>
          <w:color w:val="7D7A78"/>
          <w:kern w:val="0"/>
          <w:sz w:val="18"/>
          <w:szCs w:val="18"/>
        </w:rPr>
        <w:t>1</w:t>
      </w:r>
      <w:r w:rsidRPr="00BB7148">
        <w:rPr>
          <w:rFonts w:ascii="Arial" w:eastAsia="宋体" w:hAnsi="Arial" w:cs="Arial"/>
          <w:color w:val="7D7A78"/>
          <w:kern w:val="0"/>
          <w:sz w:val="18"/>
          <w:szCs w:val="18"/>
        </w:rPr>
        <w:t>规定。</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表</w:t>
      </w:r>
      <w:r w:rsidRPr="00BB7148">
        <w:rPr>
          <w:rFonts w:ascii="Arial" w:eastAsia="宋体" w:hAnsi="Arial" w:cs="Arial"/>
          <w:color w:val="7D7A78"/>
          <w:kern w:val="0"/>
          <w:sz w:val="18"/>
          <w:szCs w:val="18"/>
        </w:rPr>
        <w:t xml:space="preserve">1  </w:t>
      </w:r>
      <w:r w:rsidRPr="00BB7148">
        <w:rPr>
          <w:rFonts w:ascii="Arial" w:eastAsia="宋体" w:hAnsi="Arial" w:cs="Arial"/>
          <w:color w:val="7D7A78"/>
          <w:kern w:val="0"/>
          <w:sz w:val="18"/>
          <w:szCs w:val="18"/>
        </w:rPr>
        <w:t>各级疾病预防控制机构建设规模</w:t>
      </w:r>
    </w:p>
    <w:tbl>
      <w:tblPr>
        <w:tblW w:w="47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6"/>
        <w:gridCol w:w="2961"/>
        <w:gridCol w:w="3656"/>
      </w:tblGrid>
      <w:tr w:rsidR="00BB7148" w:rsidRPr="00BB7148" w:rsidTr="00BB7148">
        <w:trPr>
          <w:trHeight w:val="345"/>
        </w:trPr>
        <w:tc>
          <w:tcPr>
            <w:tcW w:w="138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类别</w:t>
            </w: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服务人口（万人）</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建筑面积</w:t>
            </w:r>
            <w:r w:rsidRPr="00BB7148">
              <w:rPr>
                <w:rFonts w:ascii="Arial" w:eastAsia="宋体" w:hAnsi="Arial" w:cs="Arial"/>
                <w:kern w:val="0"/>
                <w:sz w:val="24"/>
                <w:szCs w:val="24"/>
              </w:rPr>
              <w:t>(m</w:t>
            </w:r>
            <w:r w:rsidRPr="00BB7148">
              <w:rPr>
                <w:rFonts w:ascii="Arial" w:eastAsia="宋体" w:hAnsi="Arial" w:cs="Arial"/>
                <w:kern w:val="0"/>
                <w:sz w:val="24"/>
                <w:szCs w:val="24"/>
                <w:vertAlign w:val="superscript"/>
              </w:rPr>
              <w:t>2</w:t>
            </w:r>
            <w:r w:rsidRPr="00BB7148">
              <w:rPr>
                <w:rFonts w:ascii="Arial" w:eastAsia="宋体" w:hAnsi="Arial" w:cs="Arial"/>
                <w:kern w:val="0"/>
                <w:sz w:val="24"/>
                <w:szCs w:val="24"/>
              </w:rPr>
              <w:t>)</w:t>
            </w:r>
          </w:p>
        </w:tc>
      </w:tr>
      <w:tr w:rsidR="00BB7148" w:rsidRPr="00BB7148" w:rsidTr="00BB7148">
        <w:trPr>
          <w:trHeight w:val="345"/>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省级</w:t>
            </w: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7000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24000</w:t>
            </w:r>
            <w:r w:rsidRPr="00BB7148">
              <w:rPr>
                <w:rFonts w:ascii="Arial" w:eastAsia="宋体" w:hAnsi="Arial" w:cs="Arial"/>
                <w:kern w:val="0"/>
                <w:sz w:val="24"/>
                <w:szCs w:val="24"/>
              </w:rPr>
              <w:t>～</w:t>
            </w:r>
            <w:r w:rsidRPr="00BB7148">
              <w:rPr>
                <w:rFonts w:ascii="Arial" w:eastAsia="宋体" w:hAnsi="Arial" w:cs="Arial"/>
                <w:kern w:val="0"/>
                <w:sz w:val="24"/>
                <w:szCs w:val="24"/>
              </w:rPr>
              <w:t>34000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4000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18500</w:t>
            </w:r>
            <w:r w:rsidRPr="00BB7148">
              <w:rPr>
                <w:rFonts w:ascii="Arial" w:eastAsia="宋体" w:hAnsi="Arial" w:cs="Arial"/>
                <w:kern w:val="0"/>
                <w:sz w:val="24"/>
                <w:szCs w:val="24"/>
              </w:rPr>
              <w:t>～</w:t>
            </w:r>
            <w:r w:rsidRPr="00BB7148">
              <w:rPr>
                <w:rFonts w:ascii="Arial" w:eastAsia="宋体" w:hAnsi="Arial" w:cs="Arial"/>
                <w:kern w:val="0"/>
                <w:sz w:val="24"/>
                <w:szCs w:val="24"/>
              </w:rPr>
              <w:t>24000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1000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13000</w:t>
            </w:r>
            <w:r w:rsidRPr="00BB7148">
              <w:rPr>
                <w:rFonts w:ascii="Arial" w:eastAsia="宋体" w:hAnsi="Arial" w:cs="Arial"/>
                <w:kern w:val="0"/>
                <w:sz w:val="24"/>
                <w:szCs w:val="24"/>
              </w:rPr>
              <w:t>～</w:t>
            </w:r>
            <w:r w:rsidRPr="00BB7148">
              <w:rPr>
                <w:rFonts w:ascii="Arial" w:eastAsia="宋体" w:hAnsi="Arial" w:cs="Arial"/>
                <w:kern w:val="0"/>
                <w:sz w:val="24"/>
                <w:szCs w:val="24"/>
              </w:rPr>
              <w:t>18500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&lt;1000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7500</w:t>
            </w:r>
            <w:r w:rsidRPr="00BB7148">
              <w:rPr>
                <w:rFonts w:ascii="Arial" w:eastAsia="宋体" w:hAnsi="Arial" w:cs="Arial"/>
                <w:kern w:val="0"/>
                <w:sz w:val="24"/>
                <w:szCs w:val="24"/>
              </w:rPr>
              <w:t>～</w:t>
            </w:r>
            <w:r w:rsidRPr="00BB7148">
              <w:rPr>
                <w:rFonts w:ascii="Arial" w:eastAsia="宋体" w:hAnsi="Arial" w:cs="Arial"/>
                <w:kern w:val="0"/>
                <w:sz w:val="24"/>
                <w:szCs w:val="24"/>
              </w:rPr>
              <w:t>13000</w:t>
            </w:r>
          </w:p>
        </w:tc>
      </w:tr>
      <w:tr w:rsidR="00BB7148" w:rsidRPr="00BB7148" w:rsidTr="00BB7148">
        <w:trPr>
          <w:trHeight w:val="345"/>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市级</w:t>
            </w: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500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5800</w:t>
            </w:r>
            <w:r w:rsidRPr="00BB7148">
              <w:rPr>
                <w:rFonts w:ascii="Arial" w:eastAsia="宋体" w:hAnsi="Arial" w:cs="Arial"/>
                <w:kern w:val="0"/>
                <w:sz w:val="24"/>
                <w:szCs w:val="24"/>
              </w:rPr>
              <w:t>～</w:t>
            </w:r>
            <w:r w:rsidRPr="00BB7148">
              <w:rPr>
                <w:rFonts w:ascii="Arial" w:eastAsia="宋体" w:hAnsi="Arial" w:cs="Arial"/>
                <w:kern w:val="0"/>
                <w:sz w:val="24"/>
                <w:szCs w:val="24"/>
              </w:rPr>
              <w:t>7000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300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4700</w:t>
            </w:r>
            <w:r w:rsidRPr="00BB7148">
              <w:rPr>
                <w:rFonts w:ascii="Arial" w:eastAsia="宋体" w:hAnsi="Arial" w:cs="Arial"/>
                <w:kern w:val="0"/>
                <w:sz w:val="24"/>
                <w:szCs w:val="24"/>
              </w:rPr>
              <w:t>～</w:t>
            </w:r>
            <w:r w:rsidRPr="00BB7148">
              <w:rPr>
                <w:rFonts w:ascii="Arial" w:eastAsia="宋体" w:hAnsi="Arial" w:cs="Arial"/>
                <w:kern w:val="0"/>
                <w:sz w:val="24"/>
                <w:szCs w:val="24"/>
              </w:rPr>
              <w:t>5800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100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3500</w:t>
            </w:r>
            <w:r w:rsidRPr="00BB7148">
              <w:rPr>
                <w:rFonts w:ascii="Arial" w:eastAsia="宋体" w:hAnsi="Arial" w:cs="Arial"/>
                <w:kern w:val="0"/>
                <w:sz w:val="24"/>
                <w:szCs w:val="24"/>
              </w:rPr>
              <w:t>～</w:t>
            </w:r>
            <w:r w:rsidRPr="00BB7148">
              <w:rPr>
                <w:rFonts w:ascii="Arial" w:eastAsia="宋体" w:hAnsi="Arial" w:cs="Arial"/>
                <w:kern w:val="0"/>
                <w:sz w:val="24"/>
                <w:szCs w:val="24"/>
              </w:rPr>
              <w:t>4700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100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2500</w:t>
            </w:r>
            <w:r w:rsidRPr="00BB7148">
              <w:rPr>
                <w:rFonts w:ascii="Arial" w:eastAsia="宋体" w:hAnsi="Arial" w:cs="Arial"/>
                <w:kern w:val="0"/>
                <w:sz w:val="24"/>
                <w:szCs w:val="24"/>
              </w:rPr>
              <w:t>～</w:t>
            </w:r>
            <w:r w:rsidRPr="00BB7148">
              <w:rPr>
                <w:rFonts w:ascii="Arial" w:eastAsia="宋体" w:hAnsi="Arial" w:cs="Arial"/>
                <w:kern w:val="0"/>
                <w:sz w:val="24"/>
                <w:szCs w:val="24"/>
              </w:rPr>
              <w:t>3500</w:t>
            </w:r>
          </w:p>
        </w:tc>
      </w:tr>
      <w:tr w:rsidR="00BB7148" w:rsidRPr="00BB7148" w:rsidTr="00BB7148">
        <w:trPr>
          <w:trHeight w:val="345"/>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县级</w:t>
            </w: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80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4100</w:t>
            </w:r>
            <w:r w:rsidRPr="00BB7148">
              <w:rPr>
                <w:rFonts w:ascii="Arial" w:eastAsia="宋体" w:hAnsi="Arial" w:cs="Arial"/>
                <w:kern w:val="0"/>
                <w:sz w:val="24"/>
                <w:szCs w:val="24"/>
              </w:rPr>
              <w:t>～</w:t>
            </w:r>
            <w:r w:rsidRPr="00BB7148">
              <w:rPr>
                <w:rFonts w:ascii="Arial" w:eastAsia="宋体" w:hAnsi="Arial" w:cs="Arial"/>
                <w:kern w:val="0"/>
                <w:sz w:val="24"/>
                <w:szCs w:val="24"/>
              </w:rPr>
              <w:t>6150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40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2450</w:t>
            </w:r>
            <w:r w:rsidRPr="00BB7148">
              <w:rPr>
                <w:rFonts w:ascii="Arial" w:eastAsia="宋体" w:hAnsi="Arial" w:cs="Arial"/>
                <w:kern w:val="0"/>
                <w:sz w:val="24"/>
                <w:szCs w:val="24"/>
              </w:rPr>
              <w:t>～</w:t>
            </w:r>
            <w:r w:rsidRPr="00BB7148">
              <w:rPr>
                <w:rFonts w:ascii="Arial" w:eastAsia="宋体" w:hAnsi="Arial" w:cs="Arial"/>
                <w:kern w:val="0"/>
                <w:sz w:val="24"/>
                <w:szCs w:val="24"/>
              </w:rPr>
              <w:t>4100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10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1250</w:t>
            </w:r>
            <w:r w:rsidRPr="00BB7148">
              <w:rPr>
                <w:rFonts w:ascii="Arial" w:eastAsia="宋体" w:hAnsi="Arial" w:cs="Arial"/>
                <w:kern w:val="0"/>
                <w:sz w:val="24"/>
                <w:szCs w:val="24"/>
              </w:rPr>
              <w:t>～</w:t>
            </w:r>
            <w:r w:rsidRPr="00BB7148">
              <w:rPr>
                <w:rFonts w:ascii="Arial" w:eastAsia="宋体" w:hAnsi="Arial" w:cs="Arial"/>
                <w:kern w:val="0"/>
                <w:sz w:val="24"/>
                <w:szCs w:val="24"/>
              </w:rPr>
              <w:t>2450</w:t>
            </w:r>
          </w:p>
        </w:tc>
      </w:tr>
      <w:tr w:rsidR="00BB7148" w:rsidRPr="00BB7148" w:rsidTr="00BB7148">
        <w:trPr>
          <w:trHeight w:val="345"/>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p>
        </w:tc>
        <w:tc>
          <w:tcPr>
            <w:tcW w:w="337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w:t>
            </w:r>
            <w:r w:rsidRPr="00BB7148">
              <w:rPr>
                <w:rFonts w:ascii="Arial" w:eastAsia="宋体" w:hAnsi="Arial" w:cs="Arial"/>
                <w:kern w:val="0"/>
                <w:sz w:val="24"/>
                <w:szCs w:val="24"/>
              </w:rPr>
              <w:t>10</w:t>
            </w:r>
          </w:p>
        </w:tc>
        <w:tc>
          <w:tcPr>
            <w:tcW w:w="4155"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850</w:t>
            </w:r>
            <w:r w:rsidRPr="00BB7148">
              <w:rPr>
                <w:rFonts w:ascii="Arial" w:eastAsia="宋体" w:hAnsi="Arial" w:cs="Arial"/>
                <w:kern w:val="0"/>
                <w:sz w:val="24"/>
                <w:szCs w:val="24"/>
              </w:rPr>
              <w:t>～</w:t>
            </w:r>
            <w:r w:rsidRPr="00BB7148">
              <w:rPr>
                <w:rFonts w:ascii="Arial" w:eastAsia="宋体" w:hAnsi="Arial" w:cs="Arial"/>
                <w:kern w:val="0"/>
                <w:sz w:val="24"/>
                <w:szCs w:val="24"/>
              </w:rPr>
              <w:t>1250</w:t>
            </w:r>
          </w:p>
        </w:tc>
      </w:tr>
    </w:tbl>
    <w:p w:rsidR="00BB7148" w:rsidRPr="00BB7148" w:rsidRDefault="00BB7148" w:rsidP="00BB7148">
      <w:pPr>
        <w:widowControl/>
        <w:spacing w:line="390" w:lineRule="atLeast"/>
        <w:jc w:val="left"/>
        <w:rPr>
          <w:rFonts w:ascii="Arial" w:eastAsia="宋体" w:hAnsi="Arial" w:cs="Arial"/>
          <w:color w:val="7D7A78"/>
          <w:kern w:val="0"/>
          <w:sz w:val="18"/>
          <w:szCs w:val="18"/>
        </w:rPr>
      </w:pPr>
      <w:r w:rsidRPr="00BB7148">
        <w:rPr>
          <w:rFonts w:ascii="Arial" w:eastAsia="宋体" w:hAnsi="Arial" w:cs="Arial"/>
          <w:color w:val="7D7A78"/>
          <w:kern w:val="0"/>
          <w:sz w:val="18"/>
          <w:szCs w:val="18"/>
        </w:rPr>
        <w:t>注：经济较发达或和疾病预防控制任务繁重的省级疾病预防控制机构其建筑面积可在上表规定的标准上增加</w:t>
      </w:r>
      <w:r w:rsidRPr="00BB7148">
        <w:rPr>
          <w:rFonts w:ascii="Arial" w:eastAsia="宋体" w:hAnsi="Arial" w:cs="Arial"/>
          <w:color w:val="7D7A78"/>
          <w:kern w:val="0"/>
          <w:sz w:val="18"/>
          <w:szCs w:val="18"/>
        </w:rPr>
        <w:t>5%-10%</w:t>
      </w:r>
      <w:r w:rsidRPr="00BB7148">
        <w:rPr>
          <w:rFonts w:ascii="Arial" w:eastAsia="宋体" w:hAnsi="Arial" w:cs="Arial"/>
          <w:color w:val="7D7A78"/>
          <w:kern w:val="0"/>
          <w:sz w:val="18"/>
          <w:szCs w:val="18"/>
        </w:rPr>
        <w:t>的建筑面积；承担国家重点任务的实验室，按认证要求增加相应面积。直辖市、重点城市可根据其服务内容或疾病预防控制能力按同级最高标准规划建设。</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国家级疾病预防控制中心建设规模按功能需求与人员编制另行确定。</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第十二条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疾病预防控制中心各类用房建筑面积占总建筑面积的比例，按功能定位和服务需求，参照表</w:t>
      </w:r>
      <w:r w:rsidRPr="00BB7148">
        <w:rPr>
          <w:rFonts w:ascii="Arial" w:eastAsia="宋体" w:hAnsi="Arial" w:cs="Arial"/>
          <w:color w:val="7D7A78"/>
          <w:kern w:val="0"/>
          <w:sz w:val="18"/>
          <w:szCs w:val="18"/>
        </w:rPr>
        <w:t>2</w:t>
      </w:r>
      <w:r w:rsidRPr="00BB7148">
        <w:rPr>
          <w:rFonts w:ascii="Arial" w:eastAsia="宋体" w:hAnsi="Arial" w:cs="Arial"/>
          <w:color w:val="7D7A78"/>
          <w:kern w:val="0"/>
          <w:sz w:val="18"/>
          <w:szCs w:val="18"/>
        </w:rPr>
        <w:t>确定。</w:t>
      </w:r>
      <w:r w:rsidRPr="00BB7148">
        <w:rPr>
          <w:rFonts w:ascii="Arial" w:eastAsia="宋体" w:hAnsi="Arial" w:cs="Arial"/>
          <w:color w:val="7D7A78"/>
          <w:kern w:val="0"/>
          <w:sz w:val="18"/>
          <w:szCs w:val="18"/>
        </w:rPr>
        <w:br/>
        <w:t xml:space="preserve">  </w:t>
      </w:r>
      <w:r w:rsidRPr="00BB7148">
        <w:rPr>
          <w:rFonts w:ascii="Arial" w:eastAsia="宋体" w:hAnsi="Arial" w:cs="Arial"/>
          <w:color w:val="7D7A78"/>
          <w:kern w:val="0"/>
          <w:sz w:val="18"/>
          <w:szCs w:val="18"/>
        </w:rPr>
        <w:t>表</w:t>
      </w:r>
      <w:r w:rsidRPr="00BB7148">
        <w:rPr>
          <w:rFonts w:ascii="Arial" w:eastAsia="宋体" w:hAnsi="Arial" w:cs="Arial"/>
          <w:color w:val="7D7A78"/>
          <w:kern w:val="0"/>
          <w:sz w:val="18"/>
          <w:szCs w:val="18"/>
        </w:rPr>
        <w:t xml:space="preserve">2 </w:t>
      </w:r>
      <w:r w:rsidRPr="00BB7148">
        <w:rPr>
          <w:rFonts w:ascii="Arial" w:eastAsia="宋体" w:hAnsi="Arial" w:cs="Arial"/>
          <w:color w:val="7D7A78"/>
          <w:kern w:val="0"/>
          <w:sz w:val="18"/>
          <w:szCs w:val="18"/>
        </w:rPr>
        <w:t>省、地、县级疾病预防控制中心建筑面积分类构成（</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2"/>
        <w:gridCol w:w="1785"/>
        <w:gridCol w:w="1785"/>
        <w:gridCol w:w="1785"/>
        <w:gridCol w:w="1785"/>
      </w:tblGrid>
      <w:tr w:rsidR="00BB7148" w:rsidRPr="00BB7148" w:rsidTr="00BB7148">
        <w:trPr>
          <w:trHeight w:val="540"/>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级别</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实验用房</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业务用房</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保障用房</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行政用房</w:t>
            </w:r>
          </w:p>
        </w:tc>
      </w:tr>
      <w:tr w:rsidR="00BB7148" w:rsidRPr="00BB7148" w:rsidTr="00BB7148">
        <w:trPr>
          <w:trHeight w:val="540"/>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省级</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41</w:t>
            </w:r>
            <w:r w:rsidRPr="00BB7148">
              <w:rPr>
                <w:rFonts w:ascii="Arial" w:eastAsia="宋体" w:hAnsi="Arial" w:cs="Arial"/>
                <w:kern w:val="0"/>
                <w:sz w:val="24"/>
                <w:szCs w:val="24"/>
              </w:rPr>
              <w:t>－</w:t>
            </w:r>
            <w:r w:rsidRPr="00BB7148">
              <w:rPr>
                <w:rFonts w:ascii="Arial" w:eastAsia="宋体" w:hAnsi="Arial" w:cs="Arial"/>
                <w:kern w:val="0"/>
                <w:sz w:val="24"/>
                <w:szCs w:val="24"/>
              </w:rPr>
              <w:t>50</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24</w:t>
            </w:r>
            <w:r w:rsidRPr="00BB7148">
              <w:rPr>
                <w:rFonts w:ascii="Arial" w:eastAsia="宋体" w:hAnsi="Arial" w:cs="Arial"/>
                <w:kern w:val="0"/>
                <w:sz w:val="24"/>
                <w:szCs w:val="24"/>
              </w:rPr>
              <w:t>－</w:t>
            </w:r>
            <w:r w:rsidRPr="00BB7148">
              <w:rPr>
                <w:rFonts w:ascii="Arial" w:eastAsia="宋体" w:hAnsi="Arial" w:cs="Arial"/>
                <w:kern w:val="0"/>
                <w:sz w:val="24"/>
                <w:szCs w:val="24"/>
              </w:rPr>
              <w:t>34</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20</w:t>
            </w:r>
            <w:r w:rsidRPr="00BB7148">
              <w:rPr>
                <w:rFonts w:ascii="Arial" w:eastAsia="宋体" w:hAnsi="Arial" w:cs="Arial"/>
                <w:kern w:val="0"/>
                <w:sz w:val="24"/>
                <w:szCs w:val="24"/>
              </w:rPr>
              <w:t>－</w:t>
            </w:r>
            <w:r w:rsidRPr="00BB7148">
              <w:rPr>
                <w:rFonts w:ascii="Arial" w:eastAsia="宋体" w:hAnsi="Arial" w:cs="Arial"/>
                <w:kern w:val="0"/>
                <w:sz w:val="24"/>
                <w:szCs w:val="24"/>
              </w:rPr>
              <w:t>24</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3</w:t>
            </w:r>
            <w:r w:rsidRPr="00BB7148">
              <w:rPr>
                <w:rFonts w:ascii="Arial" w:eastAsia="宋体" w:hAnsi="Arial" w:cs="Arial"/>
                <w:kern w:val="0"/>
                <w:sz w:val="24"/>
                <w:szCs w:val="24"/>
              </w:rPr>
              <w:t>－</w:t>
            </w:r>
            <w:r w:rsidRPr="00BB7148">
              <w:rPr>
                <w:rFonts w:ascii="Arial" w:eastAsia="宋体" w:hAnsi="Arial" w:cs="Arial"/>
                <w:kern w:val="0"/>
                <w:sz w:val="24"/>
                <w:szCs w:val="24"/>
              </w:rPr>
              <w:t>6</w:t>
            </w:r>
          </w:p>
        </w:tc>
      </w:tr>
      <w:tr w:rsidR="00BB7148" w:rsidRPr="00BB7148" w:rsidTr="00BB7148">
        <w:trPr>
          <w:trHeight w:val="540"/>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地级</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40</w:t>
            </w:r>
            <w:r w:rsidRPr="00BB7148">
              <w:rPr>
                <w:rFonts w:ascii="Arial" w:eastAsia="宋体" w:hAnsi="Arial" w:cs="Arial"/>
                <w:kern w:val="0"/>
                <w:sz w:val="24"/>
                <w:szCs w:val="24"/>
              </w:rPr>
              <w:t>－</w:t>
            </w:r>
            <w:r w:rsidRPr="00BB7148">
              <w:rPr>
                <w:rFonts w:ascii="Arial" w:eastAsia="宋体" w:hAnsi="Arial" w:cs="Arial"/>
                <w:kern w:val="0"/>
                <w:sz w:val="24"/>
                <w:szCs w:val="24"/>
              </w:rPr>
              <w:t>48</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24</w:t>
            </w:r>
            <w:r w:rsidRPr="00BB7148">
              <w:rPr>
                <w:rFonts w:ascii="Arial" w:eastAsia="宋体" w:hAnsi="Arial" w:cs="Arial"/>
                <w:kern w:val="0"/>
                <w:sz w:val="24"/>
                <w:szCs w:val="24"/>
              </w:rPr>
              <w:t>－</w:t>
            </w:r>
            <w:r w:rsidRPr="00BB7148">
              <w:rPr>
                <w:rFonts w:ascii="Arial" w:eastAsia="宋体" w:hAnsi="Arial" w:cs="Arial"/>
                <w:kern w:val="0"/>
                <w:sz w:val="24"/>
                <w:szCs w:val="24"/>
              </w:rPr>
              <w:t>28</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21</w:t>
            </w:r>
            <w:r w:rsidRPr="00BB7148">
              <w:rPr>
                <w:rFonts w:ascii="Arial" w:eastAsia="宋体" w:hAnsi="Arial" w:cs="Arial"/>
                <w:kern w:val="0"/>
                <w:sz w:val="24"/>
                <w:szCs w:val="24"/>
              </w:rPr>
              <w:t>－</w:t>
            </w:r>
            <w:r w:rsidRPr="00BB7148">
              <w:rPr>
                <w:rFonts w:ascii="Arial" w:eastAsia="宋体" w:hAnsi="Arial" w:cs="Arial"/>
                <w:kern w:val="0"/>
                <w:sz w:val="24"/>
                <w:szCs w:val="24"/>
              </w:rPr>
              <w:t>28</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4</w:t>
            </w:r>
            <w:r w:rsidRPr="00BB7148">
              <w:rPr>
                <w:rFonts w:ascii="Arial" w:eastAsia="宋体" w:hAnsi="Arial" w:cs="Arial"/>
                <w:kern w:val="0"/>
                <w:sz w:val="24"/>
                <w:szCs w:val="24"/>
              </w:rPr>
              <w:t>－</w:t>
            </w:r>
            <w:r w:rsidRPr="00BB7148">
              <w:rPr>
                <w:rFonts w:ascii="Arial" w:eastAsia="宋体" w:hAnsi="Arial" w:cs="Arial"/>
                <w:kern w:val="0"/>
                <w:sz w:val="24"/>
                <w:szCs w:val="24"/>
              </w:rPr>
              <w:t>6</w:t>
            </w:r>
          </w:p>
        </w:tc>
      </w:tr>
      <w:tr w:rsidR="00BB7148" w:rsidRPr="00BB7148" w:rsidTr="00BB7148">
        <w:trPr>
          <w:trHeight w:val="540"/>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县级</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35</w:t>
            </w:r>
            <w:r w:rsidRPr="00BB7148">
              <w:rPr>
                <w:rFonts w:ascii="Arial" w:eastAsia="宋体" w:hAnsi="Arial" w:cs="Arial"/>
                <w:kern w:val="0"/>
                <w:sz w:val="24"/>
                <w:szCs w:val="24"/>
              </w:rPr>
              <w:t>－</w:t>
            </w:r>
            <w:r w:rsidRPr="00BB7148">
              <w:rPr>
                <w:rFonts w:ascii="Arial" w:eastAsia="宋体" w:hAnsi="Arial" w:cs="Arial"/>
                <w:kern w:val="0"/>
                <w:sz w:val="24"/>
                <w:szCs w:val="24"/>
              </w:rPr>
              <w:t>42</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23</w:t>
            </w:r>
            <w:r w:rsidRPr="00BB7148">
              <w:rPr>
                <w:rFonts w:ascii="Arial" w:eastAsia="宋体" w:hAnsi="Arial" w:cs="Arial"/>
                <w:kern w:val="0"/>
                <w:sz w:val="24"/>
                <w:szCs w:val="24"/>
              </w:rPr>
              <w:t>－</w:t>
            </w:r>
            <w:r w:rsidRPr="00BB7148">
              <w:rPr>
                <w:rFonts w:ascii="Arial" w:eastAsia="宋体" w:hAnsi="Arial" w:cs="Arial"/>
                <w:kern w:val="0"/>
                <w:sz w:val="24"/>
                <w:szCs w:val="24"/>
              </w:rPr>
              <w:t>25</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25</w:t>
            </w:r>
            <w:r w:rsidRPr="00BB7148">
              <w:rPr>
                <w:rFonts w:ascii="Arial" w:eastAsia="宋体" w:hAnsi="Arial" w:cs="Arial"/>
                <w:kern w:val="0"/>
                <w:sz w:val="24"/>
                <w:szCs w:val="24"/>
              </w:rPr>
              <w:t>－</w:t>
            </w:r>
            <w:r w:rsidRPr="00BB7148">
              <w:rPr>
                <w:rFonts w:ascii="Arial" w:eastAsia="宋体" w:hAnsi="Arial" w:cs="Arial"/>
                <w:kern w:val="0"/>
                <w:sz w:val="24"/>
                <w:szCs w:val="24"/>
              </w:rPr>
              <w:t>32</w:t>
            </w:r>
          </w:p>
        </w:tc>
        <w:tc>
          <w:tcPr>
            <w:tcW w:w="2010" w:type="dxa"/>
            <w:tcBorders>
              <w:top w:val="outset" w:sz="6" w:space="0" w:color="auto"/>
              <w:left w:val="outset" w:sz="6" w:space="0" w:color="auto"/>
              <w:bottom w:val="outset" w:sz="6" w:space="0" w:color="auto"/>
              <w:right w:val="outset" w:sz="6" w:space="0" w:color="auto"/>
            </w:tcBorders>
            <w:vAlign w:val="center"/>
            <w:hideMark/>
          </w:tcPr>
          <w:p w:rsidR="00BB7148" w:rsidRPr="00BB7148" w:rsidRDefault="00BB7148" w:rsidP="00BB7148">
            <w:pPr>
              <w:widowControl/>
              <w:jc w:val="left"/>
              <w:rPr>
                <w:rFonts w:ascii="Arial" w:eastAsia="宋体" w:hAnsi="Arial" w:cs="Arial"/>
                <w:kern w:val="0"/>
                <w:sz w:val="24"/>
                <w:szCs w:val="24"/>
              </w:rPr>
            </w:pPr>
            <w:r w:rsidRPr="00BB7148">
              <w:rPr>
                <w:rFonts w:ascii="Arial" w:eastAsia="宋体" w:hAnsi="Arial" w:cs="Arial"/>
                <w:kern w:val="0"/>
                <w:sz w:val="24"/>
                <w:szCs w:val="24"/>
              </w:rPr>
              <w:t>6</w:t>
            </w:r>
            <w:r w:rsidRPr="00BB7148">
              <w:rPr>
                <w:rFonts w:ascii="Arial" w:eastAsia="宋体" w:hAnsi="Arial" w:cs="Arial"/>
                <w:kern w:val="0"/>
                <w:sz w:val="24"/>
                <w:szCs w:val="24"/>
              </w:rPr>
              <w:t>－</w:t>
            </w:r>
            <w:r w:rsidRPr="00BB7148">
              <w:rPr>
                <w:rFonts w:ascii="Arial" w:eastAsia="宋体" w:hAnsi="Arial" w:cs="Arial"/>
                <w:kern w:val="0"/>
                <w:sz w:val="24"/>
                <w:szCs w:val="24"/>
              </w:rPr>
              <w:t>10</w:t>
            </w:r>
          </w:p>
        </w:tc>
      </w:tr>
    </w:tbl>
    <w:p w:rsidR="00BB7148" w:rsidRPr="00BB7148" w:rsidRDefault="00BB7148" w:rsidP="00BB7148">
      <w:pPr>
        <w:widowControl/>
        <w:spacing w:line="390" w:lineRule="atLeast"/>
        <w:jc w:val="left"/>
        <w:rPr>
          <w:rFonts w:ascii="Arial" w:eastAsia="宋体" w:hAnsi="Arial" w:cs="Arial"/>
          <w:color w:val="7D7A78"/>
          <w:kern w:val="0"/>
          <w:sz w:val="18"/>
          <w:szCs w:val="18"/>
        </w:rPr>
      </w:pPr>
      <w:r w:rsidRPr="00BB7148">
        <w:rPr>
          <w:rFonts w:ascii="Arial" w:eastAsia="宋体" w:hAnsi="Arial" w:cs="Arial"/>
          <w:color w:val="7D7A78"/>
          <w:kern w:val="0"/>
          <w:sz w:val="18"/>
          <w:szCs w:val="18"/>
        </w:rPr>
        <w:t> </w:t>
      </w:r>
    </w:p>
    <w:p w:rsidR="00BB7148" w:rsidRPr="00BB7148" w:rsidRDefault="00BB7148" w:rsidP="00BB7148">
      <w:pPr>
        <w:widowControl/>
        <w:spacing w:line="390" w:lineRule="atLeast"/>
        <w:jc w:val="left"/>
        <w:rPr>
          <w:rFonts w:ascii="Arial" w:eastAsia="宋体" w:hAnsi="Arial" w:cs="Arial"/>
          <w:color w:val="7D7A78"/>
          <w:kern w:val="0"/>
          <w:sz w:val="18"/>
          <w:szCs w:val="18"/>
        </w:rPr>
      </w:pPr>
      <w:r w:rsidRPr="00BB7148">
        <w:rPr>
          <w:rFonts w:ascii="Arial" w:eastAsia="宋体" w:hAnsi="Arial" w:cs="Arial"/>
          <w:color w:val="7D7A78"/>
          <w:kern w:val="0"/>
          <w:sz w:val="18"/>
          <w:szCs w:val="18"/>
        </w:rPr>
        <w:t>注：人均行政办公用房面积不得超过《党政机关办公用房建设标准》规定。</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第十三条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经论证批准设置特殊实验用房的，其建筑面积指标按附录</w:t>
      </w:r>
      <w:r w:rsidRPr="00BB7148">
        <w:rPr>
          <w:rFonts w:ascii="Arial" w:eastAsia="宋体" w:hAnsi="Arial" w:cs="Arial"/>
          <w:color w:val="7D7A78"/>
          <w:kern w:val="0"/>
          <w:sz w:val="18"/>
          <w:szCs w:val="18"/>
        </w:rPr>
        <w:t>A</w:t>
      </w:r>
      <w:r w:rsidRPr="00BB7148">
        <w:rPr>
          <w:rFonts w:ascii="Arial" w:eastAsia="宋体" w:hAnsi="Arial" w:cs="Arial"/>
          <w:color w:val="7D7A78"/>
          <w:kern w:val="0"/>
          <w:sz w:val="18"/>
          <w:szCs w:val="18"/>
        </w:rPr>
        <w:t>的规定计算。</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第十四条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承担在职人员培训和教学任务的疾病预防控制中心，可在总建筑面积的基础上增加</w:t>
      </w:r>
      <w:r w:rsidRPr="00BB7148">
        <w:rPr>
          <w:rFonts w:ascii="Arial" w:eastAsia="宋体" w:hAnsi="Arial" w:cs="Arial"/>
          <w:color w:val="7D7A78"/>
          <w:kern w:val="0"/>
          <w:sz w:val="18"/>
          <w:szCs w:val="18"/>
        </w:rPr>
        <w:t>5%</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10%</w:t>
      </w:r>
      <w:r w:rsidRPr="00BB7148">
        <w:rPr>
          <w:rFonts w:ascii="Arial" w:eastAsia="宋体" w:hAnsi="Arial" w:cs="Arial"/>
          <w:color w:val="7D7A78"/>
          <w:kern w:val="0"/>
          <w:sz w:val="18"/>
          <w:szCs w:val="18"/>
        </w:rPr>
        <w:t>的建筑面积。</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第四章</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建设用地</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第十五条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疾病预防控制中心建设用地应坚持科学、合理、节约的原则，在满足基本功能需要的同时，适当考虑未来发展。</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第十六条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疾病预防控制中心建设用地容积率宜为</w:t>
      </w:r>
      <w:r w:rsidRPr="00BB7148">
        <w:rPr>
          <w:rFonts w:ascii="Arial" w:eastAsia="宋体" w:hAnsi="Arial" w:cs="Arial"/>
          <w:color w:val="7D7A78"/>
          <w:kern w:val="0"/>
          <w:sz w:val="18"/>
          <w:szCs w:val="18"/>
        </w:rPr>
        <w:t>1.2</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2.0</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第十七条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疾病预防控制中心绿化用地应符合当地有关规定。</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第五章</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规划布局</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第十八条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疾病预防控制中心的选址应符合下列要求：</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一、具备较好的工程地质条件和水文地质条件。</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二、周边宜有便利的水、电、路等公用基础设施。</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三、地形规整，交通方便。</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lastRenderedPageBreak/>
        <w:t>四、避让饮用水源保护区。</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五、避开化学、生物、噪声、振动、强电磁场等污染源及易燃易爆场所。</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第十九条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疾病预防控制中心宜一次规划，一次建设，确有困难的可一次规划，分期建设。在总体布局时应充分利用地形地貌，正确处理功能分区以及各分区之间相互联系与分隔的关系，科学布置各类建筑物，合理组织人流、物流。</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疾病预防控制中心建筑宜采取分散布局形式。实验用房宜与业务、保障、行政等其他功能用房分开设置，实验用房宜处于当地夏季最小风频上风向。不同类别实验用房宜独立设置。</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第六章</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建筑标准</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疾病预防控制中心建筑设计应以科学合理、安全卫生、经济适用、环保节能为原则，同时满足周边环境与城镇规划要求。</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第二十一条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除有特殊要求外，实验用房的布局、朝向、间距应保证室内有良好的自然通风和自然采光。</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第二十二条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疾病预防控制中心建筑的抗震设防类别，应符合下列规定：</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一、承担研究、中试和存放剧毒的高危险传染病病毒任务的疾病预防控制中心的建筑或其区段，抗震设防类别应划为特殊设防类。</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二、不属于本条第一款的县、县级市及以上的疾病预防控制中心的主要建筑，抗震设防类别应划为重点设防类。</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第二十三条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疾病预防控制中心实验用房的结构形式宜采用框架（剪）结构或钢结构。</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第二十四条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设置实验用房等的主要建筑的耐火等级不应低于二级。</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第二十五条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建筑内部实验区与实验人员办公、公共垂直通道等非实验区域相互隔离，并满足人流、物流要求。</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第二十六条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建筑物垂直布局应遵循便于废气的处理排放与稀释，有利于工程管网设置</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以及各类功能区相对独立集中布置的原则进行。</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实验、业务、保障及行政等各类功能用房集中在一个楼宇的，实验用房宜置于楼宇最上部。各类实验用房集中在一个楼宇的，由上至下宜按照毒理（包括动物实验）、理化、微生物依次安排。</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第二十七条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实验用房宜安装电梯，四层及以上的设置实验用房的建筑应安装电梯。设置电梯的至少有一部货梯或有一部客梯兼作货梯。有条件的宜设置独立的污物电梯。</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lastRenderedPageBreak/>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第二十八条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实验用房外窗不宜采用有色玻璃。对有避光要求的实验用房应另行采取物理屏障措施。</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第二十九条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无特别要求的实验用房，内隔墙宜采用轻质材料，并具有良好的可视性。内隔墙材料应具备牢固、保温、防火、防潮及表面光滑平整的特性。</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顶棚、墙面的材料、构造应满足不起尘、不积灰、吸附性小、耐腐蚀、防水与易清洗的要求。</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地面材料应满足耐腐蚀、耐磨损、易冲洗及防滑的要求。洁净实验用房，负压生物安全实验用房以及其他有特定要求的实验用房地面材料还应满足整体无缝隙的要求。</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涉及放射性同位素与射线装置等有特殊要求的实验用房，其建筑布局、维护结构应满足相应的专业要求。</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实验废水排水系统应与其他排水系统分开设置。对于含有病原微生物、放射性物质，以及毒理（动物）实验用房的废水，宜分别设置排水管道。</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涉及酸、碱及有机溶剂的实验用房，水槽、排水管道应耐酸、碱及有机溶剂腐蚀。</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第三十一条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实验废水应进行无害化处理，水质符合现行国家标准《污水综合排放标准》</w:t>
      </w:r>
      <w:r w:rsidRPr="00BB7148">
        <w:rPr>
          <w:rFonts w:ascii="Arial" w:eastAsia="宋体" w:hAnsi="Arial" w:cs="Arial"/>
          <w:color w:val="7D7A78"/>
          <w:kern w:val="0"/>
          <w:sz w:val="18"/>
          <w:szCs w:val="18"/>
        </w:rPr>
        <w:t>GB 8978</w:t>
      </w:r>
      <w:r w:rsidRPr="00BB7148">
        <w:rPr>
          <w:rFonts w:ascii="Arial" w:eastAsia="宋体" w:hAnsi="Arial" w:cs="Arial"/>
          <w:color w:val="7D7A78"/>
          <w:kern w:val="0"/>
          <w:sz w:val="18"/>
          <w:szCs w:val="18"/>
        </w:rPr>
        <w:t>要求。</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第三十二条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易受化学物质灼伤的实验区域内，宜设置洗眼设施和紧急冲淋装置。当受条件限制时应在紧急疏散方向的公共区域，或交通便利、服务半径较小的区域，设置共用洗眼设施和紧急冲淋装置。</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对于二级以上生物安全实验用房，应按现行国家标准《实验室生物安全通用要求》</w:t>
      </w:r>
      <w:r w:rsidRPr="00BB7148">
        <w:rPr>
          <w:rFonts w:ascii="Arial" w:eastAsia="宋体" w:hAnsi="Arial" w:cs="Arial"/>
          <w:color w:val="7D7A78"/>
          <w:kern w:val="0"/>
          <w:sz w:val="18"/>
          <w:szCs w:val="18"/>
        </w:rPr>
        <w:t>GB 19489</w:t>
      </w:r>
      <w:r w:rsidRPr="00BB7148">
        <w:rPr>
          <w:rFonts w:ascii="Arial" w:eastAsia="宋体" w:hAnsi="Arial" w:cs="Arial"/>
          <w:color w:val="7D7A78"/>
          <w:kern w:val="0"/>
          <w:sz w:val="18"/>
          <w:szCs w:val="18"/>
        </w:rPr>
        <w:t>设置洗眼设施和紧急冲淋装置。</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有条件的实验用房应设置与检测工作范围相应的有毒有害因素报警器等安全防护设施。</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第三十三条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实验用房环境温、湿度应符合实验环境需要。空调系统不得造成不同实验用房之间空气交换，并应满足使用灵活、节能的要求。</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具有洁净度、温湿度、压力梯度要求的不同功能类别的实验用房，应采用独立的空气调节系统。</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第三十四条</w:t>
      </w:r>
      <w:r w:rsidRPr="00BB7148">
        <w:rPr>
          <w:rFonts w:ascii="Arial" w:eastAsia="宋体" w:hAnsi="Arial" w:cs="Arial"/>
          <w:color w:val="7D7A78"/>
          <w:kern w:val="0"/>
          <w:sz w:val="18"/>
          <w:szCs w:val="18"/>
        </w:rPr>
        <w:t xml:space="preserve">  </w:t>
      </w:r>
      <w:r w:rsidRPr="00BB7148">
        <w:rPr>
          <w:rFonts w:ascii="Arial" w:eastAsia="宋体" w:hAnsi="Arial" w:cs="Arial"/>
          <w:color w:val="7D7A78"/>
          <w:kern w:val="0"/>
          <w:sz w:val="18"/>
          <w:szCs w:val="18"/>
        </w:rPr>
        <w:t>对于集中大量释放有害物的实验操作点，应采取局部机械排风措施。对于分散、微量释放有害物的实验用房，宜采取全面机械通风措施。</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同时采用局部排风和全面通风措施的，应避免全面通风对局部排风气流产生横向干扰。</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第三十五条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疾病预防控制中心的供电应留有足够的负荷余量，设施应安全可靠，采用双路供电。不具备双路供电条件的，应设置自备电源。有特殊要求的，应配备不间断电源。</w:t>
      </w:r>
      <w:r w:rsidRPr="00BB7148">
        <w:rPr>
          <w:rFonts w:ascii="Arial" w:eastAsia="宋体" w:hAnsi="Arial" w:cs="Arial"/>
          <w:color w:val="7D7A78"/>
          <w:kern w:val="0"/>
          <w:sz w:val="18"/>
          <w:szCs w:val="18"/>
        </w:rPr>
        <w:br/>
      </w:r>
      <w:r w:rsidRPr="00BB7148">
        <w:rPr>
          <w:rFonts w:ascii="Arial" w:eastAsia="宋体" w:hAnsi="Arial" w:cs="Arial"/>
          <w:color w:val="7D7A78"/>
          <w:kern w:val="0"/>
          <w:sz w:val="18"/>
          <w:szCs w:val="18"/>
        </w:rPr>
        <w:t>有特殊要求的仪器设备宜设置独立的接地系统。</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第三十六条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疾病预防控制中心建筑应设置防雷系统。计算机网络机房、大型仪器分析室等有特殊要求的场</w:t>
      </w:r>
      <w:r w:rsidRPr="00BB7148">
        <w:rPr>
          <w:rFonts w:ascii="Arial" w:eastAsia="宋体" w:hAnsi="Arial" w:cs="Arial"/>
          <w:color w:val="7D7A78"/>
          <w:kern w:val="0"/>
          <w:sz w:val="18"/>
          <w:szCs w:val="18"/>
        </w:rPr>
        <w:lastRenderedPageBreak/>
        <w:t>所宜设置独立的防雷系统。</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第三十七条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疾病预防控制中心建设应设置完善的综合布线、计算机网络系统，并设置楼宇自控系统。安全防范应按有关规定设置。</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第三十八条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实验用台柜的基材应符合环保要求，面材应具备理化性能好、耐腐蚀、易清洗、防水、防火的特点，结构与配件应满足人类功效学及操作安全的要求。</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第七章</w:t>
      </w:r>
      <w:r w:rsidRPr="00BB7148">
        <w:rPr>
          <w:rFonts w:ascii="Arial" w:eastAsia="宋体" w:hAnsi="Arial" w:cs="Arial"/>
          <w:color w:val="7D7A78"/>
          <w:kern w:val="0"/>
          <w:sz w:val="18"/>
        </w:rPr>
        <w:t> </w:t>
      </w:r>
      <w:r w:rsidRPr="00BB7148">
        <w:rPr>
          <w:rFonts w:ascii="Arial" w:eastAsia="宋体" w:hAnsi="Arial" w:cs="Arial"/>
          <w:b/>
          <w:bCs/>
          <w:color w:val="7D7A78"/>
          <w:kern w:val="0"/>
          <w:sz w:val="18"/>
        </w:rPr>
        <w:t>仪器设备装备及其他相关指标</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第三十九条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疾病预防控制中心根据所承担的工作类型、职责和任务应配备的仪器设备参照附录</w:t>
      </w:r>
      <w:r w:rsidRPr="00BB7148">
        <w:rPr>
          <w:rFonts w:ascii="Arial" w:eastAsia="宋体" w:hAnsi="Arial" w:cs="Arial"/>
          <w:color w:val="7D7A78"/>
          <w:kern w:val="0"/>
          <w:sz w:val="18"/>
          <w:szCs w:val="18"/>
        </w:rPr>
        <w:t>B</w:t>
      </w:r>
      <w:r w:rsidRPr="00BB7148">
        <w:rPr>
          <w:rFonts w:ascii="Arial" w:eastAsia="宋体" w:hAnsi="Arial" w:cs="Arial"/>
          <w:color w:val="7D7A78"/>
          <w:kern w:val="0"/>
          <w:sz w:val="18"/>
          <w:szCs w:val="18"/>
        </w:rPr>
        <w:t>执行。</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第四十条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疾病预防控制工作所需设备装备参照国家有关规定执行。</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第四十一条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疾病预防控制中心的投资估算，应按国家现行有关规定编制。在评估或审批可行性研究报告和初步设计、概算时，实验用房可参照建设地区相同建筑等级标准和结构形式住宅平均建筑工程造价的</w:t>
      </w:r>
      <w:r w:rsidRPr="00BB7148">
        <w:rPr>
          <w:rFonts w:ascii="Arial" w:eastAsia="宋体" w:hAnsi="Arial" w:cs="Arial"/>
          <w:color w:val="7D7A78"/>
          <w:kern w:val="0"/>
          <w:sz w:val="18"/>
          <w:szCs w:val="18"/>
        </w:rPr>
        <w:t>2</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4</w:t>
      </w:r>
      <w:r w:rsidRPr="00BB7148">
        <w:rPr>
          <w:rFonts w:ascii="Arial" w:eastAsia="宋体" w:hAnsi="Arial" w:cs="Arial"/>
          <w:color w:val="7D7A78"/>
          <w:kern w:val="0"/>
          <w:sz w:val="18"/>
          <w:szCs w:val="18"/>
        </w:rPr>
        <w:t>倍确定，其他用房可参照</w:t>
      </w:r>
      <w:r w:rsidRPr="00BB7148">
        <w:rPr>
          <w:rFonts w:ascii="Arial" w:eastAsia="宋体" w:hAnsi="Arial" w:cs="Arial"/>
          <w:color w:val="7D7A78"/>
          <w:kern w:val="0"/>
          <w:sz w:val="18"/>
          <w:szCs w:val="18"/>
        </w:rPr>
        <w:t>1.5</w:t>
      </w:r>
      <w:r w:rsidRPr="00BB7148">
        <w:rPr>
          <w:rFonts w:ascii="Arial" w:eastAsia="宋体" w:hAnsi="Arial" w:cs="Arial"/>
          <w:color w:val="7D7A78"/>
          <w:kern w:val="0"/>
          <w:sz w:val="18"/>
          <w:szCs w:val="18"/>
        </w:rPr>
        <w:t>～</w:t>
      </w:r>
      <w:r w:rsidRPr="00BB7148">
        <w:rPr>
          <w:rFonts w:ascii="Arial" w:eastAsia="宋体" w:hAnsi="Arial" w:cs="Arial"/>
          <w:color w:val="7D7A78"/>
          <w:kern w:val="0"/>
          <w:sz w:val="18"/>
          <w:szCs w:val="18"/>
        </w:rPr>
        <w:t>2</w:t>
      </w:r>
      <w:r w:rsidRPr="00BB7148">
        <w:rPr>
          <w:rFonts w:ascii="Arial" w:eastAsia="宋体" w:hAnsi="Arial" w:cs="Arial"/>
          <w:color w:val="7D7A78"/>
          <w:kern w:val="0"/>
          <w:sz w:val="18"/>
          <w:szCs w:val="18"/>
        </w:rPr>
        <w:t>倍确定。特殊功能要求的建筑物，其建筑工程造价可按实际情况适当提高。</w:t>
      </w:r>
      <w:r w:rsidRPr="00BB7148">
        <w:rPr>
          <w:rFonts w:ascii="Arial" w:eastAsia="宋体" w:hAnsi="Arial" w:cs="Arial"/>
          <w:color w:val="7D7A78"/>
          <w:kern w:val="0"/>
          <w:sz w:val="18"/>
          <w:szCs w:val="18"/>
        </w:rPr>
        <w:br/>
        <w:t> </w:t>
      </w:r>
      <w:r w:rsidRPr="00BB7148">
        <w:rPr>
          <w:rFonts w:ascii="Arial" w:eastAsia="宋体" w:hAnsi="Arial" w:cs="Arial"/>
          <w:color w:val="7D7A78"/>
          <w:kern w:val="0"/>
          <w:sz w:val="18"/>
          <w:szCs w:val="18"/>
        </w:rPr>
        <w:br/>
      </w:r>
      <w:r w:rsidRPr="00BB7148">
        <w:rPr>
          <w:rFonts w:ascii="Arial" w:eastAsia="宋体" w:hAnsi="Arial" w:cs="Arial"/>
          <w:b/>
          <w:bCs/>
          <w:color w:val="7D7A78"/>
          <w:kern w:val="0"/>
          <w:sz w:val="18"/>
        </w:rPr>
        <w:t>第四十二条</w:t>
      </w:r>
      <w:r w:rsidRPr="00BB7148">
        <w:rPr>
          <w:rFonts w:ascii="Arial" w:eastAsia="宋体" w:hAnsi="Arial" w:cs="Arial"/>
          <w:b/>
          <w:bCs/>
          <w:color w:val="7D7A78"/>
          <w:kern w:val="0"/>
          <w:sz w:val="18"/>
        </w:rPr>
        <w:t> </w:t>
      </w:r>
      <w:r w:rsidRPr="00BB7148">
        <w:rPr>
          <w:rFonts w:ascii="Arial" w:eastAsia="宋体" w:hAnsi="Arial" w:cs="Arial"/>
          <w:color w:val="7D7A78"/>
          <w:kern w:val="0"/>
          <w:sz w:val="18"/>
          <w:szCs w:val="18"/>
        </w:rPr>
        <w:t> </w:t>
      </w:r>
      <w:r w:rsidRPr="00BB7148">
        <w:rPr>
          <w:rFonts w:ascii="Arial" w:eastAsia="宋体" w:hAnsi="Arial" w:cs="Arial"/>
          <w:color w:val="7D7A78"/>
          <w:kern w:val="0"/>
          <w:sz w:val="18"/>
          <w:szCs w:val="18"/>
        </w:rPr>
        <w:t>疾病预防控制中心的经济评价，应按国家现行《建设项目经济评价方法与参数》及相关规定执行。</w:t>
      </w:r>
    </w:p>
    <w:p w:rsidR="00632263" w:rsidRPr="00BB7148" w:rsidRDefault="00632263"/>
    <w:sectPr w:rsidR="00632263" w:rsidRPr="00BB7148" w:rsidSect="006322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7148"/>
    <w:rsid w:val="00632263"/>
    <w:rsid w:val="00BB7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63"/>
    <w:pPr>
      <w:widowControl w:val="0"/>
      <w:jc w:val="both"/>
    </w:pPr>
  </w:style>
  <w:style w:type="paragraph" w:styleId="1">
    <w:name w:val="heading 1"/>
    <w:basedOn w:val="a"/>
    <w:link w:val="1Char"/>
    <w:uiPriority w:val="9"/>
    <w:qFormat/>
    <w:rsid w:val="00BB714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7148"/>
    <w:rPr>
      <w:rFonts w:ascii="宋体" w:eastAsia="宋体" w:hAnsi="宋体" w:cs="宋体"/>
      <w:b/>
      <w:bCs/>
      <w:kern w:val="36"/>
      <w:sz w:val="48"/>
      <w:szCs w:val="48"/>
    </w:rPr>
  </w:style>
  <w:style w:type="paragraph" w:customStyle="1" w:styleId="texttime">
    <w:name w:val="text_time"/>
    <w:basedOn w:val="a"/>
    <w:rsid w:val="00BB7148"/>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BB7148"/>
    <w:rPr>
      <w:b/>
      <w:bCs/>
    </w:rPr>
  </w:style>
  <w:style w:type="character" w:customStyle="1" w:styleId="apple-converted-space">
    <w:name w:val="apple-converted-space"/>
    <w:basedOn w:val="a0"/>
    <w:rsid w:val="00BB7148"/>
  </w:style>
</w:styles>
</file>

<file path=word/webSettings.xml><?xml version="1.0" encoding="utf-8"?>
<w:webSettings xmlns:r="http://schemas.openxmlformats.org/officeDocument/2006/relationships" xmlns:w="http://schemas.openxmlformats.org/wordprocessingml/2006/main">
  <w:divs>
    <w:div w:id="739015279">
      <w:bodyDiv w:val="1"/>
      <w:marLeft w:val="0"/>
      <w:marRight w:val="0"/>
      <w:marTop w:val="0"/>
      <w:marBottom w:val="0"/>
      <w:divBdr>
        <w:top w:val="none" w:sz="0" w:space="0" w:color="auto"/>
        <w:left w:val="none" w:sz="0" w:space="0" w:color="auto"/>
        <w:bottom w:val="none" w:sz="0" w:space="0" w:color="auto"/>
        <w:right w:val="none" w:sz="0" w:space="0" w:color="auto"/>
      </w:divBdr>
      <w:divsChild>
        <w:div w:id="679116256">
          <w:marLeft w:val="0"/>
          <w:marRight w:val="0"/>
          <w:marTop w:val="0"/>
          <w:marBottom w:val="0"/>
          <w:divBdr>
            <w:top w:val="none" w:sz="0" w:space="0" w:color="auto"/>
            <w:left w:val="none" w:sz="0" w:space="0" w:color="auto"/>
            <w:bottom w:val="none" w:sz="0" w:space="0" w:color="auto"/>
            <w:right w:val="none" w:sz="0" w:space="0" w:color="auto"/>
          </w:divBdr>
          <w:divsChild>
            <w:div w:id="1664703126">
              <w:marLeft w:val="0"/>
              <w:marRight w:val="0"/>
              <w:marTop w:val="0"/>
              <w:marBottom w:val="0"/>
              <w:divBdr>
                <w:top w:val="none" w:sz="0" w:space="0" w:color="auto"/>
                <w:left w:val="none" w:sz="0" w:space="0" w:color="auto"/>
                <w:bottom w:val="none" w:sz="0" w:space="0" w:color="auto"/>
                <w:right w:val="none" w:sz="0" w:space="0" w:color="auto"/>
              </w:divBdr>
            </w:div>
            <w:div w:id="1189373751">
              <w:marLeft w:val="0"/>
              <w:marRight w:val="0"/>
              <w:marTop w:val="0"/>
              <w:marBottom w:val="0"/>
              <w:divBdr>
                <w:top w:val="none" w:sz="0" w:space="0" w:color="auto"/>
                <w:left w:val="none" w:sz="0" w:space="0" w:color="auto"/>
                <w:bottom w:val="none" w:sz="0" w:space="0" w:color="auto"/>
                <w:right w:val="none" w:sz="0" w:space="0" w:color="auto"/>
              </w:divBdr>
            </w:div>
            <w:div w:id="1089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689</Words>
  <Characters>3928</Characters>
  <Application>Microsoft Office Word</Application>
  <DocSecurity>0</DocSecurity>
  <Lines>32</Lines>
  <Paragraphs>9</Paragraphs>
  <ScaleCrop>false</ScaleCrop>
  <Company>china</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2016-07-05T07:13:00Z</dcterms:created>
  <dcterms:modified xsi:type="dcterms:W3CDTF">2016-07-05T07:14:00Z</dcterms:modified>
</cp:coreProperties>
</file>