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A9" w:rsidRPr="00052E89" w:rsidRDefault="006D7131">
      <w:pPr>
        <w:rPr>
          <w:rFonts w:hint="eastAsia"/>
          <w:sz w:val="30"/>
          <w:szCs w:val="30"/>
        </w:rPr>
      </w:pPr>
      <w:r w:rsidRPr="00052E89">
        <w:rPr>
          <w:sz w:val="30"/>
          <w:szCs w:val="30"/>
        </w:rPr>
        <w:t>生物安全实验室的分级和分类</w:t>
      </w:r>
    </w:p>
    <w:p w:rsidR="006D7131" w:rsidRPr="00052E89" w:rsidRDefault="006D7131" w:rsidP="006D7131">
      <w:pPr>
        <w:ind w:firstLine="405"/>
        <w:rPr>
          <w:rFonts w:hint="eastAsia"/>
          <w:sz w:val="30"/>
          <w:szCs w:val="30"/>
        </w:rPr>
      </w:pPr>
      <w:r w:rsidRPr="00052E89">
        <w:rPr>
          <w:rFonts w:hint="eastAsia"/>
          <w:sz w:val="30"/>
          <w:szCs w:val="30"/>
        </w:rPr>
        <w:t>生物安全实验室可由防护区和辅助去工作区组成。</w:t>
      </w:r>
    </w:p>
    <w:p w:rsidR="00D8337D" w:rsidRPr="00052E89" w:rsidRDefault="006D7131" w:rsidP="006D7131">
      <w:pPr>
        <w:ind w:firstLine="405"/>
        <w:rPr>
          <w:rFonts w:hint="eastAsia"/>
          <w:sz w:val="30"/>
          <w:szCs w:val="30"/>
        </w:rPr>
      </w:pPr>
      <w:r w:rsidRPr="00052E89">
        <w:rPr>
          <w:rFonts w:hint="eastAsia"/>
          <w:sz w:val="30"/>
          <w:szCs w:val="30"/>
        </w:rPr>
        <w:t xml:space="preserve"> </w:t>
      </w:r>
      <w:r w:rsidR="00D8337D" w:rsidRPr="00052E89">
        <w:rPr>
          <w:rFonts w:hint="eastAsia"/>
          <w:sz w:val="30"/>
          <w:szCs w:val="30"/>
        </w:rPr>
        <w:t>生物安全实验室的分级表：</w:t>
      </w:r>
    </w:p>
    <w:tbl>
      <w:tblPr>
        <w:tblStyle w:val="a5"/>
        <w:tblW w:w="0" w:type="auto"/>
        <w:tblLook w:val="04A0"/>
      </w:tblPr>
      <w:tblGrid>
        <w:gridCol w:w="870"/>
        <w:gridCol w:w="2520"/>
        <w:gridCol w:w="5132"/>
      </w:tblGrid>
      <w:tr w:rsidR="00D8337D" w:rsidRPr="00052E89" w:rsidTr="00D8337D">
        <w:tc>
          <w:tcPr>
            <w:tcW w:w="870" w:type="dxa"/>
          </w:tcPr>
          <w:p w:rsidR="00D8337D" w:rsidRPr="00052E89" w:rsidRDefault="00D8337D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分级</w:t>
            </w:r>
          </w:p>
        </w:tc>
        <w:tc>
          <w:tcPr>
            <w:tcW w:w="2520" w:type="dxa"/>
          </w:tcPr>
          <w:p w:rsidR="00D8337D" w:rsidRPr="00052E89" w:rsidRDefault="00D8337D" w:rsidP="00052E89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生物危害程度</w:t>
            </w:r>
          </w:p>
        </w:tc>
        <w:tc>
          <w:tcPr>
            <w:tcW w:w="5132" w:type="dxa"/>
          </w:tcPr>
          <w:p w:rsidR="00D8337D" w:rsidRPr="00052E89" w:rsidRDefault="00D8337D" w:rsidP="00052E89">
            <w:pPr>
              <w:ind w:firstLineChars="600" w:firstLine="1440"/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操作对象</w:t>
            </w:r>
          </w:p>
        </w:tc>
      </w:tr>
      <w:tr w:rsidR="00D8337D" w:rsidRPr="00052E89" w:rsidTr="00D8337D">
        <w:tc>
          <w:tcPr>
            <w:tcW w:w="870" w:type="dxa"/>
          </w:tcPr>
          <w:p w:rsidR="00D8337D" w:rsidRPr="00052E89" w:rsidRDefault="00D8337D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一级</w:t>
            </w:r>
          </w:p>
        </w:tc>
        <w:tc>
          <w:tcPr>
            <w:tcW w:w="2520" w:type="dxa"/>
          </w:tcPr>
          <w:p w:rsidR="00D8337D" w:rsidRPr="00052E89" w:rsidRDefault="00D8337D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低个体危害，低群体危害</w:t>
            </w:r>
          </w:p>
        </w:tc>
        <w:tc>
          <w:tcPr>
            <w:tcW w:w="5132" w:type="dxa"/>
          </w:tcPr>
          <w:p w:rsidR="00D8337D" w:rsidRPr="00052E89" w:rsidRDefault="00D8337D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对人体，动植物或环境危害较低，不具有对健康成人、动植物</w:t>
            </w:r>
            <w:r w:rsidR="00C47D3E" w:rsidRPr="00052E89">
              <w:rPr>
                <w:rFonts w:hint="eastAsia"/>
                <w:sz w:val="24"/>
                <w:szCs w:val="24"/>
              </w:rPr>
              <w:t>致病的致病因子</w:t>
            </w:r>
          </w:p>
        </w:tc>
      </w:tr>
      <w:tr w:rsidR="00D8337D" w:rsidRPr="00052E89" w:rsidTr="00052E89">
        <w:trPr>
          <w:trHeight w:val="1122"/>
        </w:trPr>
        <w:tc>
          <w:tcPr>
            <w:tcW w:w="870" w:type="dxa"/>
          </w:tcPr>
          <w:p w:rsidR="00D8337D" w:rsidRPr="00052E89" w:rsidRDefault="00D8337D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二级</w:t>
            </w:r>
          </w:p>
        </w:tc>
        <w:tc>
          <w:tcPr>
            <w:tcW w:w="2520" w:type="dxa"/>
          </w:tcPr>
          <w:p w:rsidR="00D8337D" w:rsidRPr="00052E89" w:rsidRDefault="00D8337D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中等个体危害，有限群体危害</w:t>
            </w:r>
          </w:p>
        </w:tc>
        <w:tc>
          <w:tcPr>
            <w:tcW w:w="5132" w:type="dxa"/>
          </w:tcPr>
          <w:p w:rsidR="00D8337D" w:rsidRPr="00052E89" w:rsidRDefault="00C47D3E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对人体、动植物或环境具有中等危害或具有潜在危险的致病因子，对健康成人、动物和环境不会造成严重危害。有有效的预防和治疗措施。</w:t>
            </w:r>
          </w:p>
        </w:tc>
      </w:tr>
      <w:tr w:rsidR="00D8337D" w:rsidRPr="00052E89" w:rsidTr="00052E89">
        <w:trPr>
          <w:trHeight w:val="1461"/>
        </w:trPr>
        <w:tc>
          <w:tcPr>
            <w:tcW w:w="870" w:type="dxa"/>
          </w:tcPr>
          <w:p w:rsidR="00D8337D" w:rsidRPr="00052E89" w:rsidRDefault="00D8337D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三级</w:t>
            </w:r>
          </w:p>
        </w:tc>
        <w:tc>
          <w:tcPr>
            <w:tcW w:w="2520" w:type="dxa"/>
          </w:tcPr>
          <w:p w:rsidR="00D8337D" w:rsidRPr="00052E89" w:rsidRDefault="00D8337D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高个体危害，低群体危害</w:t>
            </w:r>
          </w:p>
        </w:tc>
        <w:tc>
          <w:tcPr>
            <w:tcW w:w="5132" w:type="dxa"/>
          </w:tcPr>
          <w:p w:rsidR="00D8337D" w:rsidRPr="00052E89" w:rsidRDefault="00C47D3E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对人体、动植物或环境具有高度危害性，通过直接接触或气溶胶使人传染上严重的甚至是致命疾病，或对动植物和环境具有高度危害的致病因子，通常有预防和治疗措施</w:t>
            </w:r>
          </w:p>
        </w:tc>
      </w:tr>
      <w:tr w:rsidR="00D8337D" w:rsidRPr="00052E89" w:rsidTr="00052E89">
        <w:trPr>
          <w:trHeight w:val="1196"/>
        </w:trPr>
        <w:tc>
          <w:tcPr>
            <w:tcW w:w="870" w:type="dxa"/>
          </w:tcPr>
          <w:p w:rsidR="00D8337D" w:rsidRPr="00052E89" w:rsidRDefault="00D8337D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四级</w:t>
            </w:r>
          </w:p>
        </w:tc>
        <w:tc>
          <w:tcPr>
            <w:tcW w:w="2520" w:type="dxa"/>
          </w:tcPr>
          <w:p w:rsidR="00D8337D" w:rsidRPr="00052E89" w:rsidRDefault="00D8337D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高个体危害，高群体危害</w:t>
            </w:r>
          </w:p>
        </w:tc>
        <w:tc>
          <w:tcPr>
            <w:tcW w:w="5132" w:type="dxa"/>
          </w:tcPr>
          <w:p w:rsidR="00D8337D" w:rsidRPr="00052E89" w:rsidRDefault="00C47D3E" w:rsidP="006D7131">
            <w:pPr>
              <w:rPr>
                <w:rFonts w:hint="eastAsia"/>
                <w:sz w:val="24"/>
                <w:szCs w:val="24"/>
              </w:rPr>
            </w:pPr>
            <w:r w:rsidRPr="00052E89">
              <w:rPr>
                <w:rFonts w:hint="eastAsia"/>
                <w:sz w:val="24"/>
                <w:szCs w:val="24"/>
              </w:rPr>
              <w:t>对人体、动植物或环境具有高度危害性，通过气溶胶途径传播或传播途径不明或未知的、高度危险的致病因子，没有预防和治疗措施。</w:t>
            </w:r>
          </w:p>
        </w:tc>
      </w:tr>
    </w:tbl>
    <w:p w:rsidR="00D8337D" w:rsidRDefault="00D8337D" w:rsidP="006D7131">
      <w:pPr>
        <w:ind w:firstLine="405"/>
        <w:rPr>
          <w:rFonts w:hint="eastAsia"/>
        </w:rPr>
      </w:pPr>
    </w:p>
    <w:p w:rsidR="006D7131" w:rsidRPr="00052E89" w:rsidRDefault="006D7131" w:rsidP="00052E89">
      <w:pPr>
        <w:ind w:firstLineChars="200" w:firstLine="600"/>
        <w:rPr>
          <w:rFonts w:hint="eastAsia"/>
          <w:sz w:val="30"/>
        </w:rPr>
      </w:pPr>
      <w:r w:rsidRPr="00052E89">
        <w:rPr>
          <w:rFonts w:hint="eastAsia"/>
          <w:sz w:val="30"/>
        </w:rPr>
        <w:t>生物安全实验室根据所操作致病性生物因子的传播途径可分为</w:t>
      </w:r>
      <w:r w:rsidRPr="00052E89">
        <w:rPr>
          <w:rFonts w:hint="eastAsia"/>
          <w:sz w:val="30"/>
        </w:rPr>
        <w:t>a</w:t>
      </w:r>
      <w:r w:rsidRPr="00052E89">
        <w:rPr>
          <w:rFonts w:hint="eastAsia"/>
          <w:sz w:val="30"/>
        </w:rPr>
        <w:t>类和</w:t>
      </w:r>
      <w:r w:rsidRPr="00052E89">
        <w:rPr>
          <w:rFonts w:hint="eastAsia"/>
          <w:sz w:val="30"/>
        </w:rPr>
        <w:t>b</w:t>
      </w:r>
      <w:r w:rsidRPr="00052E89">
        <w:rPr>
          <w:rFonts w:hint="eastAsia"/>
          <w:sz w:val="30"/>
        </w:rPr>
        <w:t>类。</w:t>
      </w:r>
      <w:r w:rsidRPr="00052E89">
        <w:rPr>
          <w:sz w:val="30"/>
        </w:rPr>
        <w:t>A</w:t>
      </w:r>
      <w:r w:rsidRPr="00052E89">
        <w:rPr>
          <w:rFonts w:hint="eastAsia"/>
          <w:sz w:val="30"/>
        </w:rPr>
        <w:t>类指操作非经</w:t>
      </w:r>
      <w:r w:rsidR="001C34BA" w:rsidRPr="00052E89">
        <w:rPr>
          <w:rFonts w:hint="eastAsia"/>
          <w:sz w:val="30"/>
        </w:rPr>
        <w:t>空气传播生物因子的实验室。</w:t>
      </w:r>
      <w:r w:rsidR="001C34BA" w:rsidRPr="00052E89">
        <w:rPr>
          <w:rFonts w:hint="eastAsia"/>
          <w:sz w:val="30"/>
        </w:rPr>
        <w:t>B</w:t>
      </w:r>
      <w:r w:rsidR="001C34BA" w:rsidRPr="00052E89">
        <w:rPr>
          <w:rFonts w:hint="eastAsia"/>
          <w:sz w:val="30"/>
        </w:rPr>
        <w:t>类指操作经空气传播生物因子的实验室。</w:t>
      </w:r>
      <w:r w:rsidR="001C34BA" w:rsidRPr="00052E89">
        <w:rPr>
          <w:rFonts w:hint="eastAsia"/>
          <w:sz w:val="30"/>
        </w:rPr>
        <w:t>B1</w:t>
      </w:r>
      <w:r w:rsidR="001C34BA" w:rsidRPr="00052E89">
        <w:rPr>
          <w:rFonts w:hint="eastAsia"/>
          <w:sz w:val="30"/>
        </w:rPr>
        <w:t>类生物安全实验室指可有效利用安全隔离装置进行操作的实验室；</w:t>
      </w:r>
      <w:r w:rsidR="001C34BA" w:rsidRPr="00052E89">
        <w:rPr>
          <w:rFonts w:hint="eastAsia"/>
          <w:sz w:val="30"/>
        </w:rPr>
        <w:t>B2</w:t>
      </w:r>
      <w:r w:rsidR="001C34BA" w:rsidRPr="00052E89">
        <w:rPr>
          <w:rFonts w:hint="eastAsia"/>
          <w:sz w:val="30"/>
        </w:rPr>
        <w:t>类生物安全实验室指不能有效利用安全隔离装置进行操作的实验室。</w:t>
      </w:r>
    </w:p>
    <w:p w:rsidR="00D8337D" w:rsidRPr="00052E89" w:rsidRDefault="001C34BA" w:rsidP="00052E89">
      <w:pPr>
        <w:ind w:firstLineChars="200" w:firstLine="600"/>
        <w:rPr>
          <w:sz w:val="30"/>
        </w:rPr>
      </w:pPr>
      <w:r w:rsidRPr="00052E89">
        <w:rPr>
          <w:rFonts w:hint="eastAsia"/>
          <w:sz w:val="30"/>
        </w:rPr>
        <w:t>四级生物安全实验室根据使用生物安全柜</w:t>
      </w:r>
      <w:r w:rsidR="00D8337D" w:rsidRPr="00052E89">
        <w:rPr>
          <w:rFonts w:hint="eastAsia"/>
          <w:sz w:val="30"/>
        </w:rPr>
        <w:t>的类型和穿着防护服的不同，可分为生物安全柜型和正压服型两类，并可符合四级生物安全实验室的分类，</w:t>
      </w:r>
    </w:p>
    <w:tbl>
      <w:tblPr>
        <w:tblStyle w:val="a5"/>
        <w:tblW w:w="0" w:type="auto"/>
        <w:tblLook w:val="04A0"/>
      </w:tblPr>
      <w:tblGrid>
        <w:gridCol w:w="2190"/>
        <w:gridCol w:w="6332"/>
      </w:tblGrid>
      <w:tr w:rsidR="00D8337D" w:rsidTr="00D8337D">
        <w:tc>
          <w:tcPr>
            <w:tcW w:w="2190" w:type="dxa"/>
          </w:tcPr>
          <w:p w:rsidR="00D8337D" w:rsidRPr="00052E89" w:rsidRDefault="00D8337D" w:rsidP="00052E89">
            <w:pPr>
              <w:ind w:firstLineChars="300" w:firstLine="720"/>
              <w:rPr>
                <w:sz w:val="24"/>
                <w:szCs w:val="24"/>
              </w:rPr>
            </w:pPr>
            <w:r w:rsidRPr="00052E89">
              <w:rPr>
                <w:sz w:val="24"/>
                <w:szCs w:val="24"/>
              </w:rPr>
              <w:t>类</w:t>
            </w:r>
            <w:r w:rsidRPr="00052E89">
              <w:rPr>
                <w:rFonts w:hint="eastAsia"/>
                <w:sz w:val="24"/>
                <w:szCs w:val="24"/>
              </w:rPr>
              <w:t xml:space="preserve">  </w:t>
            </w:r>
            <w:r w:rsidRPr="00052E89">
              <w:rPr>
                <w:sz w:val="24"/>
                <w:szCs w:val="24"/>
              </w:rPr>
              <w:t>别</w:t>
            </w:r>
          </w:p>
        </w:tc>
        <w:tc>
          <w:tcPr>
            <w:tcW w:w="6332" w:type="dxa"/>
          </w:tcPr>
          <w:p w:rsidR="00D8337D" w:rsidRPr="00052E89" w:rsidRDefault="00D8337D" w:rsidP="00052E89">
            <w:pPr>
              <w:ind w:firstLineChars="1100" w:firstLine="2640"/>
              <w:rPr>
                <w:sz w:val="24"/>
                <w:szCs w:val="24"/>
              </w:rPr>
            </w:pPr>
            <w:r w:rsidRPr="00052E89">
              <w:rPr>
                <w:sz w:val="24"/>
                <w:szCs w:val="24"/>
              </w:rPr>
              <w:t>特</w:t>
            </w:r>
            <w:r w:rsidRPr="00052E89">
              <w:rPr>
                <w:rFonts w:hint="eastAsia"/>
                <w:sz w:val="24"/>
                <w:szCs w:val="24"/>
              </w:rPr>
              <w:t xml:space="preserve">    </w:t>
            </w:r>
            <w:r w:rsidRPr="00052E89">
              <w:rPr>
                <w:sz w:val="24"/>
                <w:szCs w:val="24"/>
              </w:rPr>
              <w:t>点</w:t>
            </w:r>
          </w:p>
        </w:tc>
      </w:tr>
      <w:tr w:rsidR="00D8337D" w:rsidTr="00D8337D">
        <w:tc>
          <w:tcPr>
            <w:tcW w:w="2190" w:type="dxa"/>
          </w:tcPr>
          <w:p w:rsidR="00D8337D" w:rsidRPr="00052E89" w:rsidRDefault="00D8337D" w:rsidP="00052E89">
            <w:pPr>
              <w:ind w:firstLineChars="200" w:firstLine="480"/>
              <w:rPr>
                <w:sz w:val="24"/>
                <w:szCs w:val="24"/>
              </w:rPr>
            </w:pPr>
            <w:r w:rsidRPr="00052E89">
              <w:rPr>
                <w:sz w:val="24"/>
                <w:szCs w:val="24"/>
              </w:rPr>
              <w:t>生物安全柜型</w:t>
            </w:r>
          </w:p>
        </w:tc>
        <w:tc>
          <w:tcPr>
            <w:tcW w:w="6332" w:type="dxa"/>
          </w:tcPr>
          <w:p w:rsidR="00D8337D" w:rsidRPr="00052E89" w:rsidRDefault="00D8337D" w:rsidP="006D7131">
            <w:pPr>
              <w:rPr>
                <w:sz w:val="24"/>
                <w:szCs w:val="24"/>
              </w:rPr>
            </w:pPr>
            <w:r w:rsidRPr="00052E89">
              <w:rPr>
                <w:sz w:val="24"/>
                <w:szCs w:val="24"/>
              </w:rPr>
              <w:t>使用三级生物安全柜</w:t>
            </w:r>
          </w:p>
        </w:tc>
      </w:tr>
      <w:tr w:rsidR="00D8337D" w:rsidTr="00D8337D">
        <w:tc>
          <w:tcPr>
            <w:tcW w:w="2190" w:type="dxa"/>
          </w:tcPr>
          <w:p w:rsidR="00D8337D" w:rsidRPr="00052E89" w:rsidRDefault="00D8337D" w:rsidP="00052E89">
            <w:pPr>
              <w:ind w:firstLineChars="200" w:firstLine="480"/>
              <w:rPr>
                <w:sz w:val="24"/>
                <w:szCs w:val="24"/>
              </w:rPr>
            </w:pPr>
            <w:r w:rsidRPr="00052E89">
              <w:rPr>
                <w:sz w:val="24"/>
                <w:szCs w:val="24"/>
              </w:rPr>
              <w:t>正压服型</w:t>
            </w:r>
          </w:p>
        </w:tc>
        <w:tc>
          <w:tcPr>
            <w:tcW w:w="6332" w:type="dxa"/>
          </w:tcPr>
          <w:p w:rsidR="00D8337D" w:rsidRPr="00052E89" w:rsidRDefault="00D8337D" w:rsidP="006D7131">
            <w:pPr>
              <w:rPr>
                <w:sz w:val="24"/>
                <w:szCs w:val="24"/>
              </w:rPr>
            </w:pPr>
            <w:r w:rsidRPr="00052E89">
              <w:rPr>
                <w:sz w:val="24"/>
                <w:szCs w:val="24"/>
              </w:rPr>
              <w:t>使用二级生物安全柜和具有生命支持供气系统的正压防护服</w:t>
            </w:r>
          </w:p>
        </w:tc>
      </w:tr>
    </w:tbl>
    <w:p w:rsidR="001C34BA" w:rsidRPr="00052E89" w:rsidRDefault="00C47D3E" w:rsidP="006D7131">
      <w:pPr>
        <w:ind w:firstLine="405"/>
        <w:rPr>
          <w:sz w:val="30"/>
        </w:rPr>
      </w:pPr>
      <w:r w:rsidRPr="00052E89">
        <w:rPr>
          <w:rFonts w:hint="eastAsia"/>
          <w:sz w:val="30"/>
        </w:rPr>
        <w:t>青岛汇众达净化设备有限公司</w:t>
      </w:r>
      <w:r w:rsidRPr="00052E89">
        <w:rPr>
          <w:rFonts w:hint="eastAsia"/>
          <w:sz w:val="30"/>
        </w:rPr>
        <w:t>----</w:t>
      </w:r>
      <w:r w:rsidRPr="00052E89">
        <w:rPr>
          <w:rFonts w:hint="eastAsia"/>
          <w:sz w:val="30"/>
        </w:rPr>
        <w:t>完美的品质，责任保证质量，</w:t>
      </w:r>
      <w:r w:rsidRPr="00052E89">
        <w:rPr>
          <w:rFonts w:hint="eastAsia"/>
          <w:sz w:val="30"/>
        </w:rPr>
        <w:lastRenderedPageBreak/>
        <w:t>品良则优，质优则善。重视每一项工程，注重每一个细节。为您打造</w:t>
      </w:r>
      <w:r w:rsidRPr="00052E89">
        <w:rPr>
          <w:rFonts w:hint="eastAsia"/>
          <w:sz w:val="30"/>
        </w:rPr>
        <w:t>360</w:t>
      </w:r>
      <w:r w:rsidRPr="00052E89">
        <w:rPr>
          <w:rFonts w:hint="eastAsia"/>
          <w:sz w:val="30"/>
        </w:rPr>
        <w:t>度洁净空间；完善的售后服务，让您永无后顾之忧！</w:t>
      </w:r>
    </w:p>
    <w:sectPr w:rsidR="001C34BA" w:rsidRPr="00052E89" w:rsidSect="00761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A5" w:rsidRDefault="003404A5" w:rsidP="006D7131">
      <w:r>
        <w:separator/>
      </w:r>
    </w:p>
  </w:endnote>
  <w:endnote w:type="continuationSeparator" w:id="0">
    <w:p w:rsidR="003404A5" w:rsidRDefault="003404A5" w:rsidP="006D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A5" w:rsidRDefault="003404A5" w:rsidP="006D7131">
      <w:r>
        <w:separator/>
      </w:r>
    </w:p>
  </w:footnote>
  <w:footnote w:type="continuationSeparator" w:id="0">
    <w:p w:rsidR="003404A5" w:rsidRDefault="003404A5" w:rsidP="006D7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131"/>
    <w:rsid w:val="00052E89"/>
    <w:rsid w:val="001C34BA"/>
    <w:rsid w:val="003404A5"/>
    <w:rsid w:val="006D7131"/>
    <w:rsid w:val="007619A9"/>
    <w:rsid w:val="00C47D3E"/>
    <w:rsid w:val="00D50CD2"/>
    <w:rsid w:val="00D8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131"/>
    <w:rPr>
      <w:sz w:val="18"/>
      <w:szCs w:val="18"/>
    </w:rPr>
  </w:style>
  <w:style w:type="table" w:styleId="a5">
    <w:name w:val="Table Grid"/>
    <w:basedOn w:val="a1"/>
    <w:uiPriority w:val="59"/>
    <w:rsid w:val="00D8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qdjiejing@126.cim</dc:creator>
  <cp:keywords/>
  <dc:description/>
  <cp:lastModifiedBy>qdjiejing@126.cim</cp:lastModifiedBy>
  <cp:revision>3</cp:revision>
  <dcterms:created xsi:type="dcterms:W3CDTF">2018-11-28T01:43:00Z</dcterms:created>
  <dcterms:modified xsi:type="dcterms:W3CDTF">2018-11-28T08:56:00Z</dcterms:modified>
</cp:coreProperties>
</file>