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5F2" w:rsidRDefault="00D615F2" w:rsidP="00D615F2">
      <w:pPr>
        <w:pStyle w:val="1"/>
        <w:rPr>
          <w:rFonts w:ascii="宋体" w:hAnsi="宋体" w:hint="eastAsia"/>
        </w:rPr>
      </w:pPr>
      <w:r>
        <w:rPr>
          <w:rFonts w:ascii="宋体" w:hAnsi="宋体" w:hint="eastAsia"/>
        </w:rPr>
        <w:t>处理工艺</w:t>
      </w:r>
    </w:p>
    <w:p w:rsidR="00D615F2" w:rsidRDefault="00D615F2" w:rsidP="00D615F2">
      <w:pPr>
        <w:pStyle w:val="2"/>
        <w:rPr>
          <w:rFonts w:ascii="宋体" w:eastAsia="宋体" w:hAnsi="宋体" w:hint="eastAsia"/>
        </w:rPr>
      </w:pPr>
      <w:bookmarkStart w:id="0" w:name="_Toc52522246"/>
      <w:r>
        <w:rPr>
          <w:rFonts w:ascii="宋体" w:eastAsia="宋体" w:hAnsi="宋体" w:hint="eastAsia"/>
        </w:rPr>
        <w:t>1、屠宰废水水质的分析</w:t>
      </w:r>
      <w:bookmarkEnd w:id="0"/>
    </w:p>
    <w:p w:rsidR="00D615F2" w:rsidRDefault="00D615F2" w:rsidP="00D615F2">
      <w:pPr>
        <w:ind w:firstLineChars="200" w:firstLine="480"/>
        <w:rPr>
          <w:rFonts w:ascii="宋体" w:hAnsi="宋体" w:hint="eastAsia"/>
        </w:rPr>
      </w:pPr>
      <w:r>
        <w:rPr>
          <w:rFonts w:ascii="宋体" w:hAnsi="宋体" w:hint="eastAsia"/>
        </w:rPr>
        <w:t>屠宰废水来自于圈栏冲洗、淋洗、屠宰及其它厂房地坪冲洗、烫毛、剖解、副食加工、洗油等，它具有水量大、排水不均匀、浓度高、杂质和悬浮物多、可生化性好等特点。另外它与其他高浓度有机废水的最大不同在于它的NH</w:t>
      </w:r>
      <w:r>
        <w:rPr>
          <w:rFonts w:ascii="宋体" w:hAnsi="宋体" w:hint="eastAsia"/>
          <w:vertAlign w:val="subscript"/>
        </w:rPr>
        <w:t>3</w:t>
      </w:r>
      <w:r>
        <w:rPr>
          <w:rFonts w:ascii="宋体" w:hAnsi="宋体" w:hint="eastAsia"/>
        </w:rPr>
        <w:t>-N浓度较高（约120mg/l），因此在工艺设计中应充分考虑NH</w:t>
      </w:r>
      <w:r>
        <w:rPr>
          <w:rFonts w:ascii="宋体" w:hAnsi="宋体" w:hint="eastAsia"/>
          <w:vertAlign w:val="subscript"/>
        </w:rPr>
        <w:t>3</w:t>
      </w:r>
      <w:r>
        <w:rPr>
          <w:rFonts w:ascii="宋体" w:hAnsi="宋体" w:hint="eastAsia"/>
        </w:rPr>
        <w:t>-N对废水处理造成的影响。</w:t>
      </w:r>
    </w:p>
    <w:p w:rsidR="00D615F2" w:rsidRDefault="00D615F2" w:rsidP="00D615F2">
      <w:pPr>
        <w:pStyle w:val="2"/>
        <w:rPr>
          <w:rFonts w:ascii="宋体" w:eastAsia="宋体" w:hAnsi="宋体" w:hint="eastAsia"/>
        </w:rPr>
      </w:pPr>
      <w:bookmarkStart w:id="1" w:name="_Toc52522247"/>
      <w:r>
        <w:rPr>
          <w:rFonts w:ascii="宋体" w:eastAsia="宋体" w:hAnsi="宋体" w:hint="eastAsia"/>
        </w:rPr>
        <w:t>2、屠宰废水的预处理</w:t>
      </w:r>
      <w:bookmarkEnd w:id="1"/>
    </w:p>
    <w:p w:rsidR="00D615F2" w:rsidRDefault="00D615F2" w:rsidP="00D615F2">
      <w:pPr>
        <w:ind w:firstLineChars="200" w:firstLine="480"/>
        <w:rPr>
          <w:rFonts w:ascii="宋体" w:hAnsi="宋体" w:hint="eastAsia"/>
        </w:rPr>
      </w:pPr>
      <w:r>
        <w:rPr>
          <w:rFonts w:ascii="宋体" w:hAnsi="宋体" w:hint="eastAsia"/>
        </w:rPr>
        <w:t>屠宰废水的预处理是整个系统能否有效运行的关键。屠宰废水中固体悬浮物（SS）高达1000mg/l，该类悬浮物属易腐化的有机物，必须及时拦截，一方面可防止后续管道设备的堵塞，另一方面即时清理可避免悬浮固体有机质腐化溶入废水中而成为溶解性有机质，导致废水COD</w:t>
      </w:r>
      <w:r>
        <w:rPr>
          <w:rFonts w:ascii="宋体" w:hAnsi="宋体" w:hint="eastAsia"/>
          <w:vertAlign w:val="subscript"/>
        </w:rPr>
        <w:t>Cr</w:t>
      </w:r>
      <w:r>
        <w:rPr>
          <w:rFonts w:ascii="宋体" w:hAnsi="宋体" w:hint="eastAsia"/>
        </w:rPr>
        <w:t>、BOD</w:t>
      </w:r>
      <w:r>
        <w:rPr>
          <w:rFonts w:ascii="宋体" w:hAnsi="宋体" w:hint="eastAsia"/>
          <w:vertAlign w:val="subscript"/>
        </w:rPr>
        <w:t>5</w:t>
      </w:r>
      <w:r>
        <w:rPr>
          <w:rFonts w:ascii="宋体" w:hAnsi="宋体" w:hint="eastAsia"/>
        </w:rPr>
        <w:t>浓度提高。屠宰废水包括含有大量猪粪、未消化饲料的圈栏冲洗水和一般屠宰废水两大类。</w:t>
      </w:r>
    </w:p>
    <w:p w:rsidR="00D615F2" w:rsidRDefault="00D615F2" w:rsidP="00D615F2">
      <w:pPr>
        <w:ind w:firstLineChars="200" w:firstLine="480"/>
        <w:rPr>
          <w:rFonts w:ascii="宋体" w:hAnsi="宋体" w:hint="eastAsia"/>
        </w:rPr>
      </w:pPr>
      <w:r>
        <w:rPr>
          <w:rFonts w:ascii="宋体" w:hAnsi="宋体" w:hint="eastAsia"/>
        </w:rPr>
        <w:t>圈栏冲洗水经一化粪池预处理后再与一般屠宰废水废水合并后进入废水处理站，化粪池内沉积的猪粪和未消化饲料通过挤压式固液分离机抽提并干燥后（含水率可达70%以下）作为鱼类饲料。</w:t>
      </w:r>
    </w:p>
    <w:p w:rsidR="00D615F2" w:rsidRDefault="00D615F2" w:rsidP="00D615F2">
      <w:pPr>
        <w:ind w:firstLineChars="200" w:firstLine="480"/>
        <w:rPr>
          <w:rFonts w:ascii="宋体" w:hAnsi="宋体" w:hint="eastAsia"/>
        </w:rPr>
      </w:pPr>
      <w:r>
        <w:rPr>
          <w:rFonts w:ascii="宋体" w:hAnsi="宋体" w:hint="eastAsia"/>
        </w:rPr>
        <w:t>一般屠宰废水预处理的两种主要方法：气浮和筛滤（过滤孔径1～</w:t>
      </w:r>
      <w:smartTag w:uri="urn:schemas-microsoft-com:office:smarttags" w:element="chmetcnv">
        <w:smartTagPr>
          <w:attr w:name="TCSC" w:val="0"/>
          <w:attr w:name="NumberType" w:val="1"/>
          <w:attr w:name="Negative" w:val="False"/>
          <w:attr w:name="HasSpace" w:val="False"/>
          <w:attr w:name="SourceValue" w:val="0"/>
          <w:attr w:name="UnitName" w:val="mm"/>
        </w:smartTagPr>
        <w:r>
          <w:rPr>
            <w:rFonts w:ascii="宋体" w:hAnsi="宋体" w:hint="eastAsia"/>
          </w:rPr>
          <w:t>５mm</w:t>
        </w:r>
      </w:smartTag>
      <w:r>
        <w:rPr>
          <w:rFonts w:ascii="宋体" w:hAnsi="宋体" w:hint="eastAsia"/>
        </w:rPr>
        <w:t>），其中气浮主要应用于废水量较小的处理站，其缺点主要是设备复杂、不易管理、运行成本高、卫生条件差；筛滤则主要应用于废水量较大的屠宰废水的预处理，管理方便，运行稳定。</w:t>
      </w:r>
    </w:p>
    <w:p w:rsidR="00D615F2" w:rsidRDefault="00D615F2" w:rsidP="00D615F2">
      <w:pPr>
        <w:ind w:firstLineChars="200" w:firstLine="480"/>
        <w:rPr>
          <w:rFonts w:ascii="宋体" w:hAnsi="宋体" w:hint="eastAsia"/>
        </w:rPr>
      </w:pPr>
      <w:r>
        <w:rPr>
          <w:rFonts w:ascii="宋体" w:hAnsi="宋体" w:hint="eastAsia"/>
        </w:rPr>
        <w:t>另外在筛滤机前需依次设置清捞池、粗格网（50×</w:t>
      </w:r>
      <w:smartTag w:uri="urn:schemas-microsoft-com:office:smarttags" w:element="chmetcnv">
        <w:smartTagPr>
          <w:attr w:name="TCSC" w:val="0"/>
          <w:attr w:name="NumberType" w:val="1"/>
          <w:attr w:name="Negative" w:val="False"/>
          <w:attr w:name="HasSpace" w:val="False"/>
          <w:attr w:name="SourceValue" w:val="5"/>
          <w:attr w:name="UnitName" w:val="mm"/>
        </w:smartTagPr>
        <w:r>
          <w:rPr>
            <w:rFonts w:ascii="宋体" w:hAnsi="宋体" w:hint="eastAsia"/>
          </w:rPr>
          <w:t>5mm</w:t>
        </w:r>
      </w:smartTag>
      <w:r>
        <w:rPr>
          <w:rFonts w:ascii="宋体" w:hAnsi="宋体" w:hint="eastAsia"/>
        </w:rPr>
        <w:t>）、粗格栅（</w:t>
      </w:r>
      <w:smartTag w:uri="urn:schemas-microsoft-com:office:smarttags" w:element="chmetcnv">
        <w:smartTagPr>
          <w:attr w:name="TCSC" w:val="0"/>
          <w:attr w:name="NumberType" w:val="1"/>
          <w:attr w:name="Negative" w:val="False"/>
          <w:attr w:name="HasSpace" w:val="False"/>
          <w:attr w:name="SourceValue" w:val="20"/>
          <w:attr w:name="UnitName" w:val="mm"/>
        </w:smartTagPr>
        <w:r>
          <w:rPr>
            <w:rFonts w:ascii="宋体" w:hAnsi="宋体" w:hint="eastAsia"/>
          </w:rPr>
          <w:t>20mm</w:t>
        </w:r>
      </w:smartTag>
      <w:r>
        <w:rPr>
          <w:rFonts w:ascii="宋体" w:hAnsi="宋体" w:hint="eastAsia"/>
        </w:rPr>
        <w:t>）等保护措施。</w:t>
      </w:r>
    </w:p>
    <w:p w:rsidR="00D615F2" w:rsidRDefault="00D615F2" w:rsidP="00D615F2">
      <w:pPr>
        <w:pStyle w:val="2"/>
        <w:rPr>
          <w:rFonts w:ascii="宋体" w:eastAsia="宋体" w:hAnsi="宋体" w:hint="eastAsia"/>
        </w:rPr>
      </w:pPr>
      <w:bookmarkStart w:id="2" w:name="_Toc52522248"/>
      <w:r>
        <w:rPr>
          <w:rFonts w:ascii="宋体" w:eastAsia="宋体" w:hAnsi="宋体" w:hint="eastAsia"/>
        </w:rPr>
        <w:t>3.酸化水解或厌氧</w:t>
      </w:r>
      <w:bookmarkEnd w:id="2"/>
    </w:p>
    <w:p w:rsidR="00D615F2" w:rsidRDefault="00D615F2" w:rsidP="00D615F2">
      <w:pPr>
        <w:ind w:firstLine="495"/>
        <w:rPr>
          <w:rFonts w:ascii="宋体" w:hAnsi="宋体" w:hint="eastAsia"/>
        </w:rPr>
      </w:pPr>
      <w:r>
        <w:rPr>
          <w:rFonts w:ascii="宋体" w:hAnsi="宋体" w:hint="eastAsia"/>
        </w:rPr>
        <w:t>屠宰废水中的有机物主要为蛋白质和脂肪，该类物质属大分子长链有机物，难以被一般的好氧菌直接利用，在其生物降解过程中，一般先通过酶的作用分解成氨基酸、碳水化合物等小分子有机物后方可被好氧菌直接利用，因此酸化水解工序的设置是非常有必要的。</w:t>
      </w:r>
    </w:p>
    <w:p w:rsidR="00D615F2" w:rsidRDefault="00D615F2" w:rsidP="00D615F2">
      <w:pPr>
        <w:ind w:firstLine="495"/>
        <w:rPr>
          <w:rFonts w:ascii="宋体" w:hAnsi="宋体"/>
        </w:rPr>
      </w:pPr>
      <w:r>
        <w:rPr>
          <w:rFonts w:ascii="宋体" w:hAnsi="宋体" w:hint="eastAsia"/>
        </w:rPr>
        <w:t>另外，本废水的浓度较高（COD</w:t>
      </w:r>
      <w:r>
        <w:rPr>
          <w:rFonts w:ascii="宋体" w:hAnsi="宋体" w:hint="eastAsia"/>
          <w:vertAlign w:val="subscript"/>
        </w:rPr>
        <w:t>Cr</w:t>
      </w:r>
      <w:r>
        <w:rPr>
          <w:rFonts w:ascii="宋体" w:hAnsi="宋体" w:hint="eastAsia"/>
        </w:rPr>
        <w:t>：2200mg/l），直接用好氧工艺去除全部的有机物将消耗大量的电能，因此用无需消耗电能的酸化水解工艺来去除部分有机物可节省运行成本。</w:t>
      </w:r>
    </w:p>
    <w:p w:rsidR="00D615F2" w:rsidRDefault="00D615F2" w:rsidP="00D615F2">
      <w:pPr>
        <w:ind w:firstLine="495"/>
        <w:rPr>
          <w:rFonts w:ascii="宋体" w:hAnsi="宋体"/>
        </w:rPr>
      </w:pPr>
      <w:r>
        <w:rPr>
          <w:rFonts w:ascii="宋体" w:hAnsi="宋体" w:hint="eastAsia"/>
        </w:rPr>
        <w:t>完整厌氧过程分为酸化水解和产甲烷两个阶段，酸化水解工艺只利用厌氧过程中的酸化水解阶段，所以厌氧工艺的去除率高于酸化水解工艺，设计停留时间较长（约12～48小时），其与酸化水解最主要的差别是厌氧除了包含酸化水解阶段外，还包含产气阶段（此阶段同时产生臭气）。对于屠宰废水来说，产甲烷意味着同时也产生了大量臭气，卫生条件差。另外，厌氧工艺的条件要求比较严格：如废水需达到一定温度，必须有有效的三相分离器、调试时间长等。即使如此，部分单位为了达到不耗电就能去除更多的有机物的目的，仍选择了厌氧工艺作为处理站的主要工艺，因此在已建成的屠宰废水处理站中选用厌氧工艺的较少，成功案例几乎没有。</w:t>
      </w:r>
    </w:p>
    <w:p w:rsidR="00D615F2" w:rsidRDefault="00D615F2" w:rsidP="00D615F2">
      <w:pPr>
        <w:pStyle w:val="2"/>
        <w:rPr>
          <w:rFonts w:ascii="宋体" w:eastAsia="宋体" w:hAnsi="宋体" w:hint="eastAsia"/>
        </w:rPr>
      </w:pPr>
      <w:bookmarkStart w:id="3" w:name="_Toc52522249"/>
      <w:r>
        <w:rPr>
          <w:rFonts w:ascii="宋体" w:eastAsia="宋体" w:hAnsi="宋体" w:hint="eastAsia"/>
        </w:rPr>
        <w:lastRenderedPageBreak/>
        <w:t>4、活性污泥或接触氧化</w:t>
      </w:r>
      <w:bookmarkEnd w:id="3"/>
    </w:p>
    <w:p w:rsidR="00D615F2" w:rsidRDefault="00D615F2" w:rsidP="00D615F2">
      <w:pPr>
        <w:ind w:firstLineChars="200" w:firstLine="480"/>
        <w:rPr>
          <w:rFonts w:ascii="宋体" w:hAnsi="宋体" w:hint="eastAsia"/>
        </w:rPr>
      </w:pPr>
      <w:r>
        <w:rPr>
          <w:rFonts w:ascii="宋体" w:hAnsi="宋体" w:hint="eastAsia"/>
        </w:rPr>
        <w:t>有机废水要达到一级排放标准，选用好氧生物处理工艺是最常用、最有效、运行成本最低廉的工艺。好氧生物处理工艺包括活性污泥法和接触氧化法两大类。其中活性污泥法是一种传统且技术成熟的污水处理方法，其发展已经有100多年的历史；接触氧化是自行开发的工艺，属生物膜法的一种，在经济发达国家很少使用。两种方法在工艺上的最大差别是前者的微生物处于悬浮状态，后者的微生物为固定状态。后者曝气池内需要安装生物填料以作为生物的载体，投资较高，主要应用于小型的废水处理站；前者则被广泛的应用于各类废水处理厂。由于无需污泥回流，管理方便，所以对于小型的废水处理站应用还是可行的。</w:t>
      </w:r>
    </w:p>
    <w:p w:rsidR="00D615F2" w:rsidRDefault="00D615F2" w:rsidP="00D615F2">
      <w:pPr>
        <w:pStyle w:val="2"/>
        <w:rPr>
          <w:rFonts w:ascii="宋体" w:eastAsia="宋体" w:hAnsi="宋体" w:hint="eastAsia"/>
        </w:rPr>
      </w:pPr>
      <w:bookmarkStart w:id="4" w:name="_Toc52522250"/>
      <w:r>
        <w:rPr>
          <w:rFonts w:ascii="宋体" w:eastAsia="宋体" w:hAnsi="宋体" w:hint="eastAsia"/>
        </w:rPr>
        <w:t>5、有机负荷、氨氮、一级排放标准</w:t>
      </w:r>
      <w:bookmarkEnd w:id="4"/>
    </w:p>
    <w:p w:rsidR="00D615F2" w:rsidRDefault="00D615F2" w:rsidP="00D615F2">
      <w:pPr>
        <w:ind w:firstLine="495"/>
        <w:rPr>
          <w:rFonts w:ascii="宋体" w:hAnsi="宋体"/>
        </w:rPr>
      </w:pPr>
      <w:r>
        <w:rPr>
          <w:rFonts w:ascii="宋体" w:hAnsi="宋体" w:hint="eastAsia"/>
        </w:rPr>
        <w:t>本工程废水的排放既要满足《肉类加工工业水污染物排放标准》GB13457-92中的一级排放标准，又要满足《厦门市水污染物排放控制标准》DB35/322-1999中的一级排放标准，其中BOD</w:t>
      </w:r>
      <w:r>
        <w:rPr>
          <w:rFonts w:ascii="宋体" w:hAnsi="宋体" w:hint="eastAsia"/>
          <w:vertAlign w:val="subscript"/>
        </w:rPr>
        <w:t>5</w:t>
      </w:r>
      <w:r>
        <w:rPr>
          <w:rFonts w:ascii="宋体" w:hAnsi="宋体" w:hint="eastAsia"/>
        </w:rPr>
        <w:t>小于20mg/l，COD</w:t>
      </w:r>
      <w:r>
        <w:rPr>
          <w:rFonts w:ascii="宋体" w:hAnsi="宋体" w:hint="eastAsia"/>
          <w:vertAlign w:val="subscript"/>
        </w:rPr>
        <w:t>Cr</w:t>
      </w:r>
      <w:r>
        <w:rPr>
          <w:rFonts w:ascii="宋体" w:hAnsi="宋体" w:hint="eastAsia"/>
        </w:rPr>
        <w:t>小于80mg/l，这两个数值决定了在活性污泥工艺的设计中，出水前的最后一级生化工艺必须采用低负荷设计（即有机负荷小于0.15kgBOD/kgMLSS），否则出水的BOD、COD值根本无法达标。</w:t>
      </w:r>
    </w:p>
    <w:p w:rsidR="00D615F2" w:rsidRDefault="00D615F2" w:rsidP="00D615F2">
      <w:pPr>
        <w:ind w:firstLine="495"/>
        <w:rPr>
          <w:rFonts w:ascii="宋体" w:hAnsi="宋体" w:hint="eastAsia"/>
        </w:rPr>
      </w:pPr>
      <w:r>
        <w:rPr>
          <w:rFonts w:ascii="宋体" w:hAnsi="宋体" w:hint="eastAsia"/>
        </w:rPr>
        <w:t>另外，本处理站的出水水质氨氮需小于15mg/l，原水的氨氮为120mg/l，氨氮的在处理系统中除了部分合成生物细胞外（以总氮计，约占剩余污泥的11.4%），大部分需通过硝化菌去除，考虑到废水的总氮大于氨氮，所以剩余污泥11.4%的氨氮量去除率几乎可以忽略不计，故需硝化的氨氮仍以120mg/l计。参考国内外资料</w:t>
      </w:r>
      <w:r>
        <w:rPr>
          <w:rFonts w:ascii="宋体" w:hAnsi="宋体" w:hint="eastAsia"/>
          <w:b/>
          <w:bCs/>
        </w:rPr>
        <w:t>[日 高桥俊三《活性污泥生物学》]</w:t>
      </w:r>
      <w:r>
        <w:rPr>
          <w:rFonts w:ascii="宋体" w:hAnsi="宋体" w:hint="eastAsia"/>
        </w:rPr>
        <w:t>当BOD负荷需在0.10～0.20kgBOD/kgMLSS范围，通过4～６小时的曝气可完成硝化阶段，但如果将BOD负荷提高，曝气时间再长，硝化阶段也不可能完成。由此得出如果出水氨氮要达标，则BOD负荷要低。</w:t>
      </w:r>
    </w:p>
    <w:p w:rsidR="00D615F2" w:rsidRDefault="00D615F2" w:rsidP="00D615F2">
      <w:pPr>
        <w:ind w:firstLine="495"/>
        <w:rPr>
          <w:rFonts w:ascii="宋体" w:hAnsi="宋体" w:hint="eastAsia"/>
        </w:rPr>
      </w:pPr>
      <w:r>
        <w:rPr>
          <w:rFonts w:ascii="宋体" w:hAnsi="宋体" w:hint="eastAsia"/>
        </w:rPr>
        <w:t>为满足高标准的排放标准的要求，本设计中，出水前的最后一级活性污泥工艺有机负荷确定为0.10kgBOD/kgMLSS；同时在低负荷活性污泥池前设一段高负荷（0.50kgBOD/kgMLSS）的活性污泥池，以期望能在较短的停留时间内，去除部分有机物，减少低负荷活性污泥池的处理BOD总量，尽可能减少曝气池的总池容。</w:t>
      </w:r>
    </w:p>
    <w:p w:rsidR="00D615F2" w:rsidRDefault="00D615F2" w:rsidP="00D615F2">
      <w:pPr>
        <w:pStyle w:val="2"/>
        <w:rPr>
          <w:rFonts w:ascii="宋体" w:eastAsia="宋体" w:hAnsi="宋体" w:hint="eastAsia"/>
        </w:rPr>
      </w:pPr>
      <w:bookmarkStart w:id="5" w:name="_Toc52522252"/>
      <w:r>
        <w:rPr>
          <w:rFonts w:ascii="宋体" w:eastAsia="宋体" w:hAnsi="宋体" w:hint="eastAsia"/>
        </w:rPr>
        <w:t>6、曝气系统</w:t>
      </w:r>
      <w:bookmarkEnd w:id="5"/>
    </w:p>
    <w:p w:rsidR="00D615F2" w:rsidRDefault="00D615F2" w:rsidP="00D615F2">
      <w:pPr>
        <w:ind w:firstLine="495"/>
        <w:rPr>
          <w:rFonts w:ascii="宋体" w:hAnsi="宋体" w:hint="eastAsia"/>
        </w:rPr>
      </w:pPr>
      <w:r>
        <w:rPr>
          <w:rFonts w:ascii="宋体" w:hAnsi="宋体" w:hint="eastAsia"/>
        </w:rPr>
        <w:t>曝气系统为生物好氧提供必须的氧气，是处理站设计的核心之一，许多废水处理站无法正常运行均由该系统的故障造成。设计的关键是需氧量的计算，许多公司采用经验值计算往往会造成设计容量过大或不足。活性污泥池的需氧主要由三部分组成：去除BOD</w:t>
      </w:r>
      <w:r>
        <w:rPr>
          <w:rFonts w:ascii="宋体" w:hAnsi="宋体" w:hint="eastAsia"/>
          <w:vertAlign w:val="subscript"/>
        </w:rPr>
        <w:t>5</w:t>
      </w:r>
      <w:r>
        <w:rPr>
          <w:rFonts w:ascii="宋体" w:hAnsi="宋体" w:hint="eastAsia"/>
        </w:rPr>
        <w:t>所消耗的氧（0.5kgO</w:t>
      </w:r>
      <w:r>
        <w:rPr>
          <w:rFonts w:ascii="宋体" w:hAnsi="宋体" w:hint="eastAsia"/>
          <w:vertAlign w:val="subscript"/>
        </w:rPr>
        <w:t>2</w:t>
      </w:r>
      <w:r>
        <w:rPr>
          <w:rFonts w:ascii="宋体" w:hAnsi="宋体" w:hint="eastAsia"/>
        </w:rPr>
        <w:t>/kgBOD）、维持曝气池内污泥好氧所需要的氧（0.11kgO</w:t>
      </w:r>
      <w:r>
        <w:rPr>
          <w:rFonts w:ascii="宋体" w:hAnsi="宋体" w:hint="eastAsia"/>
          <w:vertAlign w:val="subscript"/>
        </w:rPr>
        <w:t>2</w:t>
      </w:r>
      <w:r>
        <w:rPr>
          <w:rFonts w:ascii="宋体" w:hAnsi="宋体" w:hint="eastAsia"/>
        </w:rPr>
        <w:t>/kg污泥）、氨氮硝化所需要的氧（4.7kgO</w:t>
      </w:r>
      <w:r>
        <w:rPr>
          <w:rFonts w:ascii="宋体" w:hAnsi="宋体" w:hint="eastAsia"/>
          <w:vertAlign w:val="subscript"/>
        </w:rPr>
        <w:t>2</w:t>
      </w:r>
      <w:r>
        <w:rPr>
          <w:rFonts w:ascii="宋体" w:hAnsi="宋体" w:hint="eastAsia"/>
        </w:rPr>
        <w:t>/kgNH</w:t>
      </w:r>
      <w:r>
        <w:rPr>
          <w:rFonts w:ascii="宋体" w:hAnsi="宋体" w:hint="eastAsia"/>
          <w:vertAlign w:val="subscript"/>
        </w:rPr>
        <w:t>3</w:t>
      </w:r>
      <w:r>
        <w:rPr>
          <w:rFonts w:ascii="宋体" w:hAnsi="宋体" w:hint="eastAsia"/>
        </w:rPr>
        <w:t>-N），其中氨氮硝化所需的氧接近于其他部分所需氧的总和。许多设计人员在计算需氧量过程中会故意忽略氨氮硝化所需要的氧，以减少曝气量，降低投资和运行成本，增加项目在投标阶段的竞争力，故总是无法达标。</w:t>
      </w:r>
    </w:p>
    <w:p w:rsidR="00D615F2" w:rsidRDefault="00D615F2" w:rsidP="00D615F2">
      <w:pPr>
        <w:ind w:firstLine="495"/>
        <w:rPr>
          <w:rFonts w:ascii="宋体" w:hAnsi="宋体" w:hint="eastAsia"/>
        </w:rPr>
      </w:pPr>
      <w:r>
        <w:rPr>
          <w:rFonts w:ascii="宋体" w:hAnsi="宋体" w:hint="eastAsia"/>
        </w:rPr>
        <w:t>确定需氧量后，选择供氧系统成为关键，目前主要的供氧系统有射流曝气和鼓风曝气两大类。与鼓风曝气相比，射流曝气的优点是噪音小，安装维护简易；其缺点是能耗大，以目前行业内较为常用的水下曝气机和射流器为例，一千瓦的电耗所提供的溶解氧仅为</w:t>
      </w:r>
      <w:smartTag w:uri="urn:schemas-microsoft-com:office:smarttags" w:element="chmetcnv">
        <w:smartTagPr>
          <w:attr w:name="TCSC" w:val="0"/>
          <w:attr w:name="NumberType" w:val="1"/>
          <w:attr w:name="Negative" w:val="False"/>
          <w:attr w:name="HasSpace" w:val="False"/>
          <w:attr w:name="SourceValue" w:val=".9"/>
          <w:attr w:name="UnitName" w:val="kg"/>
        </w:smartTagPr>
        <w:r>
          <w:rPr>
            <w:rFonts w:ascii="宋体" w:hAnsi="宋体" w:hint="eastAsia"/>
          </w:rPr>
          <w:t>0.9kg</w:t>
        </w:r>
      </w:smartTag>
      <w:r>
        <w:rPr>
          <w:rFonts w:ascii="宋体" w:hAnsi="宋体" w:hint="eastAsia"/>
        </w:rPr>
        <w:t>；而鼓风机+球冠型微孔曝气器的曝气系统，一千瓦的电耗所能提供的溶解氧为6.5～8</w:t>
      </w:r>
      <w:smartTag w:uri="urn:schemas-microsoft-com:office:smarttags" w:element="chmetcnv">
        <w:smartTagPr>
          <w:attr w:name="TCSC" w:val="0"/>
          <w:attr w:name="NumberType" w:val="1"/>
          <w:attr w:name="Negative" w:val="False"/>
          <w:attr w:name="HasSpace" w:val="False"/>
          <w:attr w:name="SourceValue" w:val=".85"/>
          <w:attr w:name="UnitName" w:val="kg"/>
        </w:smartTagPr>
        <w:r>
          <w:rPr>
            <w:rFonts w:ascii="宋体" w:hAnsi="宋体" w:hint="eastAsia"/>
          </w:rPr>
          <w:t>.85kg</w:t>
        </w:r>
      </w:smartTag>
      <w:r>
        <w:rPr>
          <w:rFonts w:ascii="宋体" w:hAnsi="宋体" w:hint="eastAsia"/>
        </w:rPr>
        <w:t>。小型废水处理站可选用射流曝气，</w:t>
      </w:r>
      <w:r>
        <w:rPr>
          <w:rFonts w:ascii="宋体" w:hAnsi="宋体" w:hint="eastAsia"/>
        </w:rPr>
        <w:lastRenderedPageBreak/>
        <w:t>对于规模较大的废水处理站则选择鼓风曝气为宜。另外微孔曝气器的性能和参数则是曝气系统能否正常运行的关键，“溶解氧利用率”的高低直接关系到废水处理运行费用的高低。</w:t>
      </w:r>
    </w:p>
    <w:p w:rsidR="00D615F2" w:rsidRDefault="00D615F2" w:rsidP="00D615F2">
      <w:pPr>
        <w:pStyle w:val="2"/>
        <w:rPr>
          <w:rFonts w:ascii="宋体" w:eastAsia="宋体" w:hAnsi="宋体" w:hint="eastAsia"/>
        </w:rPr>
      </w:pPr>
      <w:bookmarkStart w:id="6" w:name="_Toc52522254"/>
      <w:r>
        <w:rPr>
          <w:rFonts w:ascii="宋体" w:eastAsia="宋体" w:hAnsi="宋体" w:hint="eastAsia"/>
        </w:rPr>
        <w:t>7、污泥处理</w:t>
      </w:r>
      <w:bookmarkEnd w:id="6"/>
    </w:p>
    <w:p w:rsidR="00D615F2" w:rsidRDefault="00D615F2" w:rsidP="00D615F2">
      <w:pPr>
        <w:ind w:firstLineChars="200" w:firstLine="480"/>
        <w:rPr>
          <w:rFonts w:ascii="宋体" w:hAnsi="宋体" w:hint="eastAsia"/>
        </w:rPr>
      </w:pPr>
      <w:r>
        <w:rPr>
          <w:rFonts w:ascii="宋体" w:hAnsi="宋体" w:hint="eastAsia"/>
        </w:rPr>
        <w:t>屠宰废水的剩余污泥中蛋白质含量过高，不易脱水。根据本司过去在处理肉联厂废水时对产生剩余污泥的分析，其蛋白质含量高达27%～28%，而且油性大、粘稠，使用板框压滤无法脱水，本设计从四面解决好剩余污泥的处理问题：减少污泥量并改变污泥性能、设污泥浓缩池、选用污泥带式压滤机脱水、选用特定污泥调理药剂。</w:t>
      </w:r>
    </w:p>
    <w:p w:rsidR="00D615F2" w:rsidRDefault="00D615F2" w:rsidP="00D615F2">
      <w:pPr>
        <w:pStyle w:val="20"/>
        <w:ind w:firstLineChars="200" w:firstLine="480"/>
        <w:rPr>
          <w:rFonts w:ascii="宋体" w:hAnsi="宋体" w:hint="eastAsia"/>
          <w:sz w:val="24"/>
        </w:rPr>
      </w:pPr>
      <w:r>
        <w:rPr>
          <w:rFonts w:ascii="宋体" w:hAnsi="宋体" w:hint="eastAsia"/>
          <w:sz w:val="24"/>
        </w:rPr>
        <w:t>将IAT池的部分污泥回流到酸化水解池进行水解消化，以减少剩余污泥的排放量，提高污泥的可压缩性；所有的剩余污泥均从酸化水解池底部排出；污泥的浓缩时间超过24小时。污泥经过脱水后的含水率约为80%，可直接外运处置。</w:t>
      </w:r>
    </w:p>
    <w:p w:rsidR="00D615F2" w:rsidRDefault="00830F3A" w:rsidP="00D615F2">
      <w:pPr>
        <w:pStyle w:val="2"/>
        <w:rPr>
          <w:rFonts w:ascii="宋体" w:eastAsia="宋体" w:hAnsi="宋体" w:hint="eastAsia"/>
        </w:rPr>
      </w:pPr>
      <w:bookmarkStart w:id="7" w:name="_Toc52522255"/>
      <w:r>
        <w:rPr>
          <w:rFonts w:ascii="宋体" w:eastAsia="宋体" w:hAnsi="宋体" w:hint="eastAsia"/>
        </w:rPr>
        <w:t>8、</w:t>
      </w:r>
      <w:r w:rsidR="00D615F2">
        <w:rPr>
          <w:rFonts w:ascii="宋体" w:eastAsia="宋体" w:hAnsi="宋体" w:hint="eastAsia"/>
        </w:rPr>
        <w:t>混凝过滤、中水回用、水质把关</w:t>
      </w:r>
      <w:bookmarkEnd w:id="7"/>
    </w:p>
    <w:p w:rsidR="00D615F2" w:rsidRDefault="00D615F2" w:rsidP="00D615F2">
      <w:pPr>
        <w:ind w:firstLine="495"/>
        <w:rPr>
          <w:rFonts w:ascii="宋体" w:hAnsi="宋体" w:hint="eastAsia"/>
        </w:rPr>
      </w:pPr>
      <w:r>
        <w:rPr>
          <w:rFonts w:ascii="宋体" w:hAnsi="宋体" w:hint="eastAsia"/>
        </w:rPr>
        <w:t>对废水处理站生化处理系统（二级处理）出水进一步进行物化处理（三级处理）是十分常见的，它可以进一步提高废水的出水水质，对于那些对出水水质要求较高且需要回用的项目则是必须的。物化处理的工艺包括混凝、砂滤、消毒、气浮、生物碳过滤等等，以混凝、过滤、消毒（屠宰废水）最为常见。</w:t>
      </w:r>
    </w:p>
    <w:p w:rsidR="00D615F2" w:rsidRDefault="00830F3A" w:rsidP="00D615F2">
      <w:pPr>
        <w:pStyle w:val="2"/>
        <w:rPr>
          <w:rFonts w:ascii="宋体" w:eastAsia="宋体" w:hAnsi="宋体" w:hint="eastAsia"/>
        </w:rPr>
      </w:pPr>
      <w:bookmarkStart w:id="8" w:name="_Toc52522256"/>
      <w:r>
        <w:rPr>
          <w:rFonts w:ascii="宋体" w:eastAsia="宋体" w:hAnsi="宋体" w:hint="eastAsia"/>
        </w:rPr>
        <w:t>9、</w:t>
      </w:r>
      <w:r w:rsidR="00D615F2">
        <w:rPr>
          <w:rFonts w:ascii="宋体" w:eastAsia="宋体" w:hAnsi="宋体" w:hint="eastAsia"/>
        </w:rPr>
        <w:t>臭味与噪音</w:t>
      </w:r>
      <w:bookmarkEnd w:id="8"/>
    </w:p>
    <w:p w:rsidR="00D615F2" w:rsidRDefault="00D615F2" w:rsidP="00D615F2">
      <w:pPr>
        <w:ind w:firstLine="495"/>
        <w:rPr>
          <w:rFonts w:ascii="宋体" w:hAnsi="宋体" w:hint="eastAsia"/>
        </w:rPr>
      </w:pPr>
      <w:r>
        <w:rPr>
          <w:rFonts w:ascii="宋体" w:hAnsi="宋体" w:hint="eastAsia"/>
        </w:rPr>
        <w:t>屠宰废水处理站的臭味是客观存在的，对于工艺设计者来说，保持废水在各个构筑的经常性流动，避免构筑物内废水形成死区而导致局部废水厌氧产生臭味是很重要的；另外，在废水工艺的设计中，不选用厌氧处理工艺、不使废水产气，是减少处理站臭味的重要手段；在企业生产初期，可能由于废水排放量较少而导致酸化水解池的停留时间增加，工艺自动由酸化转变为厌氧而产生的沼气，只能通过收集后高空排放，本措施较为复杂，且涉及投资问题，除非业主特别要求，否则我司将予以忽略；在管理方面，即时处理清捞出的固体废弃物则是消除臭味的重要手段。</w:t>
      </w:r>
    </w:p>
    <w:p w:rsidR="00D615F2" w:rsidRDefault="00D615F2" w:rsidP="00D615F2">
      <w:pPr>
        <w:ind w:firstLine="495"/>
        <w:rPr>
          <w:rFonts w:ascii="宋体" w:hAnsi="宋体" w:hint="eastAsia"/>
        </w:rPr>
      </w:pPr>
      <w:r>
        <w:rPr>
          <w:rFonts w:ascii="宋体" w:hAnsi="宋体" w:hint="eastAsia"/>
        </w:rPr>
        <w:t>处理站的噪声来自于鼓风机，消除其影响有以下措施：鼓风机房位置尽量不要直接靠近行人多的地方；选择鼓风机时尽量选用转速低的风机；鼓风机的进出口安装消音器；在鼓风机房内部的墙面上安装隔音板、使用双层隔音玻璃、专门的进风口等可消除噪音的影响。</w:t>
      </w:r>
    </w:p>
    <w:p w:rsidR="00D615F2" w:rsidRDefault="00BE63AE" w:rsidP="00D615F2">
      <w:pPr>
        <w:pStyle w:val="2"/>
        <w:rPr>
          <w:rFonts w:ascii="宋体" w:eastAsia="宋体" w:hAnsi="宋体" w:hint="eastAsia"/>
        </w:rPr>
      </w:pPr>
      <w:bookmarkStart w:id="9" w:name="_Toc52522257"/>
      <w:r>
        <w:rPr>
          <w:rFonts w:ascii="宋体" w:eastAsia="宋体" w:hAnsi="宋体" w:hint="eastAsia"/>
        </w:rPr>
        <w:lastRenderedPageBreak/>
        <w:t>10、</w:t>
      </w:r>
      <w:r w:rsidR="00D615F2">
        <w:rPr>
          <w:rFonts w:ascii="宋体" w:eastAsia="宋体" w:hAnsi="宋体" w:hint="eastAsia"/>
        </w:rPr>
        <w:t>工艺流程</w:t>
      </w:r>
      <w:bookmarkEnd w:id="9"/>
    </w:p>
    <w:p w:rsidR="00D615F2" w:rsidRDefault="00D615F2" w:rsidP="00D615F2">
      <w:pPr>
        <w:rPr>
          <w:rFonts w:ascii="宋体" w:hAnsi="宋体" w:hint="eastAsia"/>
        </w:rPr>
      </w:pPr>
      <w:r>
        <w:object w:dxaOrig="14670" w:dyaOrig="8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5pt;height:375.9pt" o:ole="">
            <v:imagedata r:id="rId6" o:title="" croptop="3063f" cropbottom="1751f" cropleft="12663f" cropright="9371f"/>
          </v:shape>
          <o:OLEObject Type="Embed" ProgID="AutoCAD.Drawing.16" ShapeID="_x0000_i1025" DrawAspect="Content" ObjectID="_1442819720" r:id="rId7"/>
        </w:object>
      </w:r>
      <w:bookmarkStart w:id="10" w:name="_Toc52522258"/>
      <w:r>
        <w:rPr>
          <w:rFonts w:ascii="宋体" w:hAnsi="宋体" w:hint="eastAsia"/>
        </w:rPr>
        <w:t>3.13各工序BOD去除率分析表</w:t>
      </w:r>
      <w:bookmarkEnd w:id="10"/>
    </w:p>
    <w:tbl>
      <w:tblPr>
        <w:tblW w:w="0" w:type="auto"/>
        <w:tblInd w:w="4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882"/>
        <w:gridCol w:w="2016"/>
        <w:gridCol w:w="1764"/>
        <w:gridCol w:w="1638"/>
        <w:gridCol w:w="1638"/>
      </w:tblGrid>
      <w:tr w:rsidR="00D615F2" w:rsidTr="0049459E">
        <w:tblPrEx>
          <w:tblCellMar>
            <w:top w:w="0" w:type="dxa"/>
            <w:bottom w:w="0" w:type="dxa"/>
          </w:tblCellMar>
        </w:tblPrEx>
        <w:trPr>
          <w:cantSplit/>
          <w:trHeight w:val="454"/>
        </w:trPr>
        <w:tc>
          <w:tcPr>
            <w:tcW w:w="882" w:type="dxa"/>
            <w:tcBorders>
              <w:bottom w:val="single" w:sz="4" w:space="0" w:color="auto"/>
              <w:right w:val="single" w:sz="4" w:space="0" w:color="auto"/>
            </w:tcBorders>
            <w:vAlign w:val="center"/>
          </w:tcPr>
          <w:p w:rsidR="00D615F2" w:rsidRDefault="00D615F2" w:rsidP="0049459E">
            <w:pPr>
              <w:jc w:val="center"/>
              <w:rPr>
                <w:rFonts w:ascii="宋体" w:hAnsi="宋体" w:hint="eastAsia"/>
              </w:rPr>
            </w:pPr>
            <w:r>
              <w:rPr>
                <w:rFonts w:ascii="宋体" w:hAnsi="宋体" w:hint="eastAsia"/>
              </w:rPr>
              <w:t>序号</w:t>
            </w:r>
          </w:p>
        </w:tc>
        <w:tc>
          <w:tcPr>
            <w:tcW w:w="2016" w:type="dxa"/>
            <w:tcBorders>
              <w:left w:val="single" w:sz="4" w:space="0" w:color="auto"/>
              <w:bottom w:val="single" w:sz="4" w:space="0" w:color="auto"/>
              <w:right w:val="single" w:sz="4" w:space="0" w:color="auto"/>
            </w:tcBorders>
            <w:vAlign w:val="center"/>
          </w:tcPr>
          <w:p w:rsidR="00D615F2" w:rsidRDefault="00D615F2" w:rsidP="0049459E">
            <w:pPr>
              <w:jc w:val="center"/>
              <w:rPr>
                <w:rFonts w:ascii="宋体" w:hAnsi="宋体" w:hint="eastAsia"/>
              </w:rPr>
            </w:pPr>
            <w:r>
              <w:rPr>
                <w:rFonts w:ascii="宋体" w:hAnsi="宋体" w:hint="eastAsia"/>
              </w:rPr>
              <w:t>工序名称</w:t>
            </w:r>
          </w:p>
        </w:tc>
        <w:tc>
          <w:tcPr>
            <w:tcW w:w="1764" w:type="dxa"/>
            <w:tcBorders>
              <w:left w:val="single" w:sz="4" w:space="0" w:color="auto"/>
              <w:bottom w:val="single" w:sz="4" w:space="0" w:color="auto"/>
              <w:right w:val="single" w:sz="4" w:space="0" w:color="auto"/>
            </w:tcBorders>
            <w:vAlign w:val="center"/>
          </w:tcPr>
          <w:p w:rsidR="00D615F2" w:rsidRDefault="00D615F2" w:rsidP="0049459E">
            <w:pPr>
              <w:jc w:val="center"/>
              <w:rPr>
                <w:rFonts w:ascii="宋体" w:hAnsi="宋体" w:hint="eastAsia"/>
              </w:rPr>
            </w:pPr>
            <w:r>
              <w:rPr>
                <w:rFonts w:ascii="宋体" w:hAnsi="宋体" w:hint="eastAsia"/>
              </w:rPr>
              <w:t>BOD</w:t>
            </w:r>
            <w:r>
              <w:rPr>
                <w:rFonts w:ascii="宋体" w:hAnsi="宋体" w:hint="eastAsia"/>
                <w:vertAlign w:val="subscript"/>
              </w:rPr>
              <w:t>5</w:t>
            </w:r>
            <w:r>
              <w:rPr>
                <w:rFonts w:ascii="宋体" w:hAnsi="宋体" w:hint="eastAsia"/>
              </w:rPr>
              <w:t>去除率</w:t>
            </w:r>
          </w:p>
        </w:tc>
        <w:tc>
          <w:tcPr>
            <w:tcW w:w="1638" w:type="dxa"/>
            <w:tcBorders>
              <w:left w:val="single" w:sz="4" w:space="0" w:color="auto"/>
              <w:bottom w:val="single" w:sz="4" w:space="0" w:color="auto"/>
              <w:right w:val="single" w:sz="4" w:space="0" w:color="auto"/>
            </w:tcBorders>
            <w:vAlign w:val="center"/>
          </w:tcPr>
          <w:p w:rsidR="00D615F2" w:rsidRDefault="00D615F2" w:rsidP="0049459E">
            <w:pPr>
              <w:jc w:val="center"/>
              <w:rPr>
                <w:rFonts w:ascii="宋体" w:hAnsi="宋体" w:hint="eastAsia"/>
              </w:rPr>
            </w:pPr>
            <w:r>
              <w:rPr>
                <w:rFonts w:ascii="宋体" w:hAnsi="宋体" w:hint="eastAsia"/>
              </w:rPr>
              <w:t>出水BOD</w:t>
            </w:r>
            <w:r>
              <w:rPr>
                <w:rFonts w:ascii="宋体" w:hAnsi="宋体" w:hint="eastAsia"/>
                <w:vertAlign w:val="subscript"/>
              </w:rPr>
              <w:t>5</w:t>
            </w:r>
          </w:p>
        </w:tc>
        <w:tc>
          <w:tcPr>
            <w:tcW w:w="1638" w:type="dxa"/>
            <w:tcBorders>
              <w:left w:val="single" w:sz="4" w:space="0" w:color="auto"/>
              <w:bottom w:val="single" w:sz="4" w:space="0" w:color="auto"/>
            </w:tcBorders>
            <w:vAlign w:val="center"/>
          </w:tcPr>
          <w:p w:rsidR="00D615F2" w:rsidRDefault="00D615F2" w:rsidP="0049459E">
            <w:pPr>
              <w:jc w:val="center"/>
              <w:rPr>
                <w:rFonts w:ascii="宋体" w:hAnsi="宋体" w:hint="eastAsia"/>
              </w:rPr>
            </w:pPr>
            <w:r>
              <w:rPr>
                <w:rFonts w:ascii="宋体" w:hAnsi="宋体" w:hint="eastAsia"/>
              </w:rPr>
              <w:t>去除BOD</w:t>
            </w:r>
            <w:r>
              <w:rPr>
                <w:rFonts w:ascii="宋体" w:hAnsi="宋体" w:hint="eastAsia"/>
                <w:vertAlign w:val="subscript"/>
              </w:rPr>
              <w:t>5</w:t>
            </w:r>
            <w:r>
              <w:rPr>
                <w:rFonts w:ascii="宋体" w:hAnsi="宋体" w:hint="eastAsia"/>
              </w:rPr>
              <w:t>量</w:t>
            </w:r>
          </w:p>
        </w:tc>
      </w:tr>
      <w:tr w:rsidR="00D615F2" w:rsidTr="0049459E">
        <w:tblPrEx>
          <w:tblCellMar>
            <w:top w:w="0" w:type="dxa"/>
            <w:bottom w:w="0" w:type="dxa"/>
          </w:tblCellMar>
        </w:tblPrEx>
        <w:trPr>
          <w:cantSplit/>
          <w:trHeight w:val="454"/>
        </w:trPr>
        <w:tc>
          <w:tcPr>
            <w:tcW w:w="882" w:type="dxa"/>
            <w:tcBorders>
              <w:top w:val="single" w:sz="4" w:space="0" w:color="auto"/>
              <w:bottom w:val="single" w:sz="4" w:space="0" w:color="auto"/>
              <w:right w:val="single" w:sz="4" w:space="0" w:color="auto"/>
            </w:tcBorders>
            <w:shd w:val="clear" w:color="auto" w:fill="E6E6E6"/>
            <w:vAlign w:val="center"/>
          </w:tcPr>
          <w:p w:rsidR="00D615F2" w:rsidRDefault="00D615F2" w:rsidP="0049459E">
            <w:pPr>
              <w:jc w:val="center"/>
              <w:rPr>
                <w:rFonts w:ascii="宋体" w:hAnsi="宋体" w:hint="eastAsia"/>
              </w:rPr>
            </w:pPr>
            <w:r>
              <w:rPr>
                <w:rFonts w:ascii="宋体" w:hAnsi="宋体" w:hint="eastAsia"/>
              </w:rPr>
              <w:t>1</w:t>
            </w:r>
          </w:p>
        </w:tc>
        <w:tc>
          <w:tcPr>
            <w:tcW w:w="2016" w:type="dxa"/>
            <w:tcBorders>
              <w:top w:val="single" w:sz="4" w:space="0" w:color="auto"/>
              <w:left w:val="single" w:sz="4" w:space="0" w:color="auto"/>
              <w:bottom w:val="single" w:sz="4" w:space="0" w:color="auto"/>
              <w:right w:val="single" w:sz="4" w:space="0" w:color="auto"/>
            </w:tcBorders>
            <w:shd w:val="clear" w:color="auto" w:fill="E6E6E6"/>
            <w:vAlign w:val="center"/>
          </w:tcPr>
          <w:p w:rsidR="00D615F2" w:rsidRDefault="00D615F2" w:rsidP="0049459E">
            <w:pPr>
              <w:pStyle w:val="10"/>
              <w:ind w:firstLine="17"/>
              <w:rPr>
                <w:rFonts w:hint="eastAsia"/>
              </w:rPr>
            </w:pPr>
            <w:r>
              <w:rPr>
                <w:rFonts w:hint="eastAsia"/>
              </w:rPr>
              <w:t>粗格栅、细转筛</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615F2" w:rsidRDefault="00D615F2" w:rsidP="0049459E">
            <w:pPr>
              <w:jc w:val="center"/>
              <w:rPr>
                <w:rFonts w:ascii="宋体" w:hAnsi="宋体" w:hint="eastAsia"/>
              </w:rPr>
            </w:pPr>
            <w:r>
              <w:rPr>
                <w:rFonts w:ascii="宋体" w:hAnsi="宋体" w:hint="eastAsia"/>
              </w:rPr>
              <w:t>20％</w:t>
            </w:r>
          </w:p>
        </w:tc>
        <w:tc>
          <w:tcPr>
            <w:tcW w:w="1638" w:type="dxa"/>
            <w:vMerge w:val="restart"/>
            <w:tcBorders>
              <w:top w:val="single" w:sz="4" w:space="0" w:color="auto"/>
              <w:left w:val="single" w:sz="4" w:space="0" w:color="auto"/>
              <w:right w:val="single" w:sz="4" w:space="0" w:color="auto"/>
            </w:tcBorders>
            <w:shd w:val="clear" w:color="auto" w:fill="FFFFFF"/>
            <w:vAlign w:val="center"/>
          </w:tcPr>
          <w:p w:rsidR="00D615F2" w:rsidRDefault="00D615F2" w:rsidP="0049459E">
            <w:pPr>
              <w:pStyle w:val="10"/>
              <w:ind w:firstLine="17"/>
              <w:rPr>
                <w:rFonts w:hint="eastAsia"/>
              </w:rPr>
            </w:pPr>
            <w:r>
              <w:rPr>
                <w:rFonts w:hint="eastAsia"/>
              </w:rPr>
              <w:t>960mg/l</w:t>
            </w:r>
          </w:p>
        </w:tc>
        <w:tc>
          <w:tcPr>
            <w:tcW w:w="1638" w:type="dxa"/>
            <w:vMerge w:val="restart"/>
            <w:tcBorders>
              <w:top w:val="single" w:sz="4" w:space="0" w:color="auto"/>
              <w:left w:val="single" w:sz="4" w:space="0" w:color="auto"/>
            </w:tcBorders>
            <w:shd w:val="clear" w:color="auto" w:fill="FFFFFF"/>
            <w:vAlign w:val="center"/>
          </w:tcPr>
          <w:p w:rsidR="00D615F2" w:rsidRDefault="00D615F2" w:rsidP="0049459E">
            <w:pPr>
              <w:jc w:val="center"/>
              <w:rPr>
                <w:rFonts w:ascii="宋体" w:hAnsi="宋体" w:hint="eastAsia"/>
              </w:rPr>
            </w:pPr>
            <w:smartTag w:uri="urn:schemas-microsoft-com:office:smarttags" w:element="chmetcnv">
              <w:smartTagPr>
                <w:attr w:name="TCSC" w:val="0"/>
                <w:attr w:name="NumberType" w:val="1"/>
                <w:attr w:name="Negative" w:val="False"/>
                <w:attr w:name="HasSpace" w:val="False"/>
                <w:attr w:name="SourceValue" w:val="432"/>
                <w:attr w:name="UnitName" w:val="kg"/>
              </w:smartTagPr>
              <w:r>
                <w:rPr>
                  <w:rFonts w:ascii="宋体" w:hAnsi="宋体" w:hint="eastAsia"/>
                </w:rPr>
                <w:t>432kg</w:t>
              </w:r>
            </w:smartTag>
          </w:p>
        </w:tc>
      </w:tr>
      <w:tr w:rsidR="00D615F2" w:rsidTr="0049459E">
        <w:tblPrEx>
          <w:tblCellMar>
            <w:top w:w="0" w:type="dxa"/>
            <w:bottom w:w="0" w:type="dxa"/>
          </w:tblCellMar>
        </w:tblPrEx>
        <w:trPr>
          <w:cantSplit/>
          <w:trHeight w:val="454"/>
        </w:trPr>
        <w:tc>
          <w:tcPr>
            <w:tcW w:w="882" w:type="dxa"/>
            <w:tcBorders>
              <w:top w:val="single" w:sz="4" w:space="0" w:color="auto"/>
              <w:bottom w:val="single" w:sz="4" w:space="0" w:color="auto"/>
              <w:right w:val="single" w:sz="4" w:space="0" w:color="auto"/>
            </w:tcBorders>
            <w:vAlign w:val="center"/>
          </w:tcPr>
          <w:p w:rsidR="00D615F2" w:rsidRDefault="00D615F2" w:rsidP="0049459E">
            <w:pPr>
              <w:jc w:val="center"/>
              <w:rPr>
                <w:rFonts w:ascii="宋体" w:hAnsi="宋体" w:hint="eastAsia"/>
              </w:rPr>
            </w:pPr>
            <w:r>
              <w:rPr>
                <w:rFonts w:ascii="宋体" w:hAnsi="宋体" w:hint="eastAsia"/>
              </w:rPr>
              <w:t>2</w:t>
            </w:r>
          </w:p>
        </w:tc>
        <w:tc>
          <w:tcPr>
            <w:tcW w:w="2016" w:type="dxa"/>
            <w:tcBorders>
              <w:top w:val="single" w:sz="4" w:space="0" w:color="auto"/>
              <w:left w:val="single" w:sz="4" w:space="0" w:color="auto"/>
              <w:bottom w:val="single" w:sz="4" w:space="0" w:color="auto"/>
              <w:right w:val="single" w:sz="4" w:space="0" w:color="auto"/>
            </w:tcBorders>
            <w:vAlign w:val="center"/>
          </w:tcPr>
          <w:p w:rsidR="00D615F2" w:rsidRDefault="00D615F2" w:rsidP="0049459E">
            <w:pPr>
              <w:rPr>
                <w:rFonts w:ascii="宋体" w:hAnsi="宋体" w:hint="eastAsia"/>
              </w:rPr>
            </w:pPr>
            <w:r>
              <w:rPr>
                <w:rFonts w:ascii="宋体" w:hAnsi="宋体" w:hint="eastAsia"/>
              </w:rPr>
              <w:t>调节池</w:t>
            </w:r>
          </w:p>
        </w:tc>
        <w:tc>
          <w:tcPr>
            <w:tcW w:w="1764" w:type="dxa"/>
            <w:vMerge/>
            <w:tcBorders>
              <w:left w:val="single" w:sz="4" w:space="0" w:color="auto"/>
              <w:bottom w:val="single" w:sz="4" w:space="0" w:color="auto"/>
              <w:right w:val="single" w:sz="4" w:space="0" w:color="auto"/>
            </w:tcBorders>
            <w:shd w:val="clear" w:color="auto" w:fill="FFFFFF"/>
            <w:vAlign w:val="center"/>
          </w:tcPr>
          <w:p w:rsidR="00D615F2" w:rsidRDefault="00D615F2" w:rsidP="0049459E">
            <w:pPr>
              <w:jc w:val="center"/>
              <w:rPr>
                <w:rFonts w:ascii="宋体" w:hAnsi="宋体" w:hint="eastAsia"/>
              </w:rPr>
            </w:pPr>
          </w:p>
        </w:tc>
        <w:tc>
          <w:tcPr>
            <w:tcW w:w="1638" w:type="dxa"/>
            <w:vMerge/>
            <w:tcBorders>
              <w:left w:val="single" w:sz="4" w:space="0" w:color="auto"/>
              <w:bottom w:val="single" w:sz="4" w:space="0" w:color="auto"/>
              <w:right w:val="single" w:sz="4" w:space="0" w:color="auto"/>
            </w:tcBorders>
            <w:shd w:val="clear" w:color="auto" w:fill="FFFFFF"/>
            <w:vAlign w:val="center"/>
          </w:tcPr>
          <w:p w:rsidR="00D615F2" w:rsidRDefault="00D615F2" w:rsidP="0049459E">
            <w:pPr>
              <w:ind w:firstLineChars="107" w:firstLine="257"/>
              <w:rPr>
                <w:rFonts w:ascii="宋体" w:hAnsi="宋体" w:hint="eastAsia"/>
              </w:rPr>
            </w:pPr>
          </w:p>
        </w:tc>
        <w:tc>
          <w:tcPr>
            <w:tcW w:w="1638" w:type="dxa"/>
            <w:vMerge/>
            <w:tcBorders>
              <w:left w:val="single" w:sz="4" w:space="0" w:color="auto"/>
              <w:bottom w:val="single" w:sz="4" w:space="0" w:color="auto"/>
            </w:tcBorders>
            <w:shd w:val="clear" w:color="auto" w:fill="FFFFFF"/>
            <w:vAlign w:val="center"/>
          </w:tcPr>
          <w:p w:rsidR="00D615F2" w:rsidRDefault="00D615F2" w:rsidP="0049459E">
            <w:pPr>
              <w:jc w:val="center"/>
              <w:rPr>
                <w:rFonts w:ascii="宋体" w:hAnsi="宋体" w:hint="eastAsia"/>
              </w:rPr>
            </w:pPr>
          </w:p>
        </w:tc>
      </w:tr>
      <w:tr w:rsidR="00D615F2" w:rsidTr="0049459E">
        <w:tblPrEx>
          <w:tblCellMar>
            <w:top w:w="0" w:type="dxa"/>
            <w:bottom w:w="0" w:type="dxa"/>
          </w:tblCellMar>
        </w:tblPrEx>
        <w:trPr>
          <w:cantSplit/>
          <w:trHeight w:val="454"/>
        </w:trPr>
        <w:tc>
          <w:tcPr>
            <w:tcW w:w="882" w:type="dxa"/>
            <w:tcBorders>
              <w:top w:val="single" w:sz="4" w:space="0" w:color="auto"/>
              <w:bottom w:val="single" w:sz="4" w:space="0" w:color="auto"/>
              <w:right w:val="single" w:sz="4" w:space="0" w:color="auto"/>
            </w:tcBorders>
            <w:shd w:val="clear" w:color="auto" w:fill="E6E6E6"/>
            <w:vAlign w:val="center"/>
          </w:tcPr>
          <w:p w:rsidR="00D615F2" w:rsidRDefault="00D615F2" w:rsidP="0049459E">
            <w:pPr>
              <w:jc w:val="center"/>
              <w:rPr>
                <w:rFonts w:ascii="宋体" w:hAnsi="宋体" w:hint="eastAsia"/>
              </w:rPr>
            </w:pPr>
            <w:r>
              <w:rPr>
                <w:rFonts w:ascii="宋体" w:hAnsi="宋体" w:hint="eastAsia"/>
              </w:rPr>
              <w:t>3</w:t>
            </w:r>
          </w:p>
        </w:tc>
        <w:tc>
          <w:tcPr>
            <w:tcW w:w="2016" w:type="dxa"/>
            <w:tcBorders>
              <w:top w:val="single" w:sz="4" w:space="0" w:color="auto"/>
              <w:left w:val="single" w:sz="4" w:space="0" w:color="auto"/>
              <w:bottom w:val="single" w:sz="4" w:space="0" w:color="auto"/>
              <w:right w:val="single" w:sz="4" w:space="0" w:color="auto"/>
            </w:tcBorders>
            <w:shd w:val="clear" w:color="auto" w:fill="E6E6E6"/>
            <w:vAlign w:val="center"/>
          </w:tcPr>
          <w:p w:rsidR="00D615F2" w:rsidRDefault="00D615F2" w:rsidP="0049459E">
            <w:pPr>
              <w:rPr>
                <w:rFonts w:ascii="宋体" w:hAnsi="宋体" w:hint="eastAsia"/>
              </w:rPr>
            </w:pPr>
            <w:r>
              <w:rPr>
                <w:rFonts w:ascii="宋体" w:hAnsi="宋体" w:hint="eastAsia"/>
              </w:rPr>
              <w:t>酸化水解池</w:t>
            </w:r>
          </w:p>
        </w:tc>
        <w:tc>
          <w:tcPr>
            <w:tcW w:w="1764" w:type="dxa"/>
            <w:tcBorders>
              <w:top w:val="single" w:sz="4" w:space="0" w:color="auto"/>
              <w:left w:val="single" w:sz="4" w:space="0" w:color="auto"/>
              <w:bottom w:val="single" w:sz="4" w:space="0" w:color="auto"/>
              <w:right w:val="single" w:sz="4" w:space="0" w:color="auto"/>
            </w:tcBorders>
            <w:shd w:val="clear" w:color="auto" w:fill="E6E6E6"/>
            <w:vAlign w:val="center"/>
          </w:tcPr>
          <w:p w:rsidR="00D615F2" w:rsidRDefault="00D615F2" w:rsidP="0049459E">
            <w:pPr>
              <w:jc w:val="center"/>
              <w:rPr>
                <w:rFonts w:ascii="宋体" w:hAnsi="宋体" w:hint="eastAsia"/>
              </w:rPr>
            </w:pPr>
            <w:r>
              <w:rPr>
                <w:rFonts w:ascii="宋体" w:hAnsi="宋体" w:hint="eastAsia"/>
              </w:rPr>
              <w:t>40％</w:t>
            </w:r>
          </w:p>
        </w:tc>
        <w:tc>
          <w:tcPr>
            <w:tcW w:w="1638" w:type="dxa"/>
            <w:tcBorders>
              <w:top w:val="single" w:sz="4" w:space="0" w:color="auto"/>
              <w:left w:val="single" w:sz="4" w:space="0" w:color="auto"/>
              <w:bottom w:val="single" w:sz="4" w:space="0" w:color="auto"/>
              <w:right w:val="single" w:sz="4" w:space="0" w:color="auto"/>
            </w:tcBorders>
            <w:shd w:val="clear" w:color="auto" w:fill="E6E6E6"/>
            <w:vAlign w:val="center"/>
          </w:tcPr>
          <w:p w:rsidR="00D615F2" w:rsidRDefault="00D615F2" w:rsidP="0049459E">
            <w:pPr>
              <w:ind w:firstLineChars="107" w:firstLine="257"/>
              <w:rPr>
                <w:rFonts w:ascii="宋体" w:hAnsi="宋体" w:hint="eastAsia"/>
              </w:rPr>
            </w:pPr>
            <w:r>
              <w:rPr>
                <w:rFonts w:ascii="宋体" w:hAnsi="宋体" w:hint="eastAsia"/>
              </w:rPr>
              <w:t>576mg/l</w:t>
            </w:r>
          </w:p>
        </w:tc>
        <w:tc>
          <w:tcPr>
            <w:tcW w:w="1638" w:type="dxa"/>
            <w:tcBorders>
              <w:top w:val="single" w:sz="4" w:space="0" w:color="auto"/>
              <w:left w:val="single" w:sz="4" w:space="0" w:color="auto"/>
              <w:bottom w:val="single" w:sz="4" w:space="0" w:color="auto"/>
            </w:tcBorders>
            <w:shd w:val="clear" w:color="auto" w:fill="E6E6E6"/>
            <w:vAlign w:val="center"/>
          </w:tcPr>
          <w:p w:rsidR="00D615F2" w:rsidRDefault="00D615F2" w:rsidP="0049459E">
            <w:pPr>
              <w:jc w:val="center"/>
              <w:rPr>
                <w:rFonts w:ascii="宋体" w:hAnsi="宋体" w:hint="eastAsia"/>
              </w:rPr>
            </w:pPr>
            <w:smartTag w:uri="urn:schemas-microsoft-com:office:smarttags" w:element="chmetcnv">
              <w:smartTagPr>
                <w:attr w:name="TCSC" w:val="0"/>
                <w:attr w:name="NumberType" w:val="1"/>
                <w:attr w:name="Negative" w:val="False"/>
                <w:attr w:name="HasSpace" w:val="False"/>
                <w:attr w:name="SourceValue" w:val="691"/>
                <w:attr w:name="UnitName" w:val="kg"/>
              </w:smartTagPr>
              <w:r>
                <w:rPr>
                  <w:rFonts w:ascii="宋体" w:hAnsi="宋体" w:hint="eastAsia"/>
                </w:rPr>
                <w:t>691kg</w:t>
              </w:r>
            </w:smartTag>
          </w:p>
        </w:tc>
      </w:tr>
      <w:tr w:rsidR="00D615F2" w:rsidTr="0049459E">
        <w:tblPrEx>
          <w:tblCellMar>
            <w:top w:w="0" w:type="dxa"/>
            <w:bottom w:w="0" w:type="dxa"/>
          </w:tblCellMar>
        </w:tblPrEx>
        <w:trPr>
          <w:cantSplit/>
          <w:trHeight w:val="454"/>
        </w:trPr>
        <w:tc>
          <w:tcPr>
            <w:tcW w:w="882" w:type="dxa"/>
            <w:tcBorders>
              <w:top w:val="single" w:sz="4" w:space="0" w:color="auto"/>
              <w:bottom w:val="single" w:sz="4" w:space="0" w:color="auto"/>
              <w:right w:val="single" w:sz="4" w:space="0" w:color="auto"/>
            </w:tcBorders>
            <w:vAlign w:val="center"/>
          </w:tcPr>
          <w:p w:rsidR="00D615F2" w:rsidRDefault="00D615F2" w:rsidP="0049459E">
            <w:pPr>
              <w:jc w:val="center"/>
              <w:rPr>
                <w:rFonts w:ascii="宋体" w:hAnsi="宋体" w:hint="eastAsia"/>
              </w:rPr>
            </w:pPr>
            <w:r>
              <w:rPr>
                <w:rFonts w:ascii="宋体" w:hAnsi="宋体" w:hint="eastAsia"/>
              </w:rPr>
              <w:t>4</w:t>
            </w:r>
          </w:p>
        </w:tc>
        <w:tc>
          <w:tcPr>
            <w:tcW w:w="2016" w:type="dxa"/>
            <w:tcBorders>
              <w:top w:val="single" w:sz="4" w:space="0" w:color="auto"/>
              <w:left w:val="single" w:sz="4" w:space="0" w:color="auto"/>
              <w:bottom w:val="single" w:sz="4" w:space="0" w:color="auto"/>
              <w:right w:val="single" w:sz="4" w:space="0" w:color="auto"/>
            </w:tcBorders>
            <w:vAlign w:val="center"/>
          </w:tcPr>
          <w:p w:rsidR="00D615F2" w:rsidRDefault="00D615F2" w:rsidP="0049459E">
            <w:pPr>
              <w:rPr>
                <w:rFonts w:ascii="宋体" w:hAnsi="宋体" w:hint="eastAsia"/>
              </w:rPr>
            </w:pPr>
            <w:r>
              <w:rPr>
                <w:rFonts w:ascii="宋体" w:hAnsi="宋体" w:hint="eastAsia"/>
              </w:rPr>
              <w:t>DAT池</w:t>
            </w:r>
          </w:p>
        </w:tc>
        <w:tc>
          <w:tcPr>
            <w:tcW w:w="1764" w:type="dxa"/>
            <w:tcBorders>
              <w:top w:val="single" w:sz="4" w:space="0" w:color="auto"/>
              <w:left w:val="single" w:sz="4" w:space="0" w:color="auto"/>
              <w:bottom w:val="single" w:sz="4" w:space="0" w:color="auto"/>
              <w:right w:val="single" w:sz="4" w:space="0" w:color="auto"/>
            </w:tcBorders>
            <w:vAlign w:val="center"/>
          </w:tcPr>
          <w:p w:rsidR="00D615F2" w:rsidRDefault="00D615F2" w:rsidP="0049459E">
            <w:pPr>
              <w:jc w:val="center"/>
              <w:rPr>
                <w:rFonts w:ascii="宋体" w:hAnsi="宋体" w:hint="eastAsia"/>
              </w:rPr>
            </w:pPr>
            <w:r>
              <w:rPr>
                <w:rFonts w:ascii="宋体" w:hAnsi="宋体" w:hint="eastAsia"/>
              </w:rPr>
              <w:t>60％</w:t>
            </w:r>
          </w:p>
        </w:tc>
        <w:tc>
          <w:tcPr>
            <w:tcW w:w="1638" w:type="dxa"/>
            <w:tcBorders>
              <w:top w:val="single" w:sz="4" w:space="0" w:color="auto"/>
              <w:left w:val="single" w:sz="4" w:space="0" w:color="auto"/>
              <w:bottom w:val="single" w:sz="4" w:space="0" w:color="auto"/>
              <w:right w:val="single" w:sz="4" w:space="0" w:color="auto"/>
            </w:tcBorders>
            <w:vAlign w:val="center"/>
          </w:tcPr>
          <w:p w:rsidR="00D615F2" w:rsidRDefault="00D615F2" w:rsidP="0049459E">
            <w:pPr>
              <w:ind w:firstLineChars="107" w:firstLine="257"/>
              <w:rPr>
                <w:rFonts w:ascii="宋体" w:hAnsi="宋体" w:hint="eastAsia"/>
              </w:rPr>
            </w:pPr>
            <w:r>
              <w:rPr>
                <w:rFonts w:ascii="宋体" w:hAnsi="宋体" w:hint="eastAsia"/>
              </w:rPr>
              <w:t>230.4mg/l</w:t>
            </w:r>
          </w:p>
        </w:tc>
        <w:tc>
          <w:tcPr>
            <w:tcW w:w="1638" w:type="dxa"/>
            <w:tcBorders>
              <w:top w:val="single" w:sz="4" w:space="0" w:color="auto"/>
              <w:left w:val="single" w:sz="4" w:space="0" w:color="auto"/>
              <w:bottom w:val="single" w:sz="4" w:space="0" w:color="auto"/>
            </w:tcBorders>
            <w:vAlign w:val="center"/>
          </w:tcPr>
          <w:p w:rsidR="00D615F2" w:rsidRDefault="00D615F2" w:rsidP="0049459E">
            <w:pPr>
              <w:jc w:val="center"/>
              <w:rPr>
                <w:rFonts w:ascii="宋体" w:hAnsi="宋体" w:hint="eastAsia"/>
              </w:rPr>
            </w:pPr>
            <w:smartTag w:uri="urn:schemas-microsoft-com:office:smarttags" w:element="chmetcnv">
              <w:smartTagPr>
                <w:attr w:name="TCSC" w:val="0"/>
                <w:attr w:name="NumberType" w:val="1"/>
                <w:attr w:name="Negative" w:val="False"/>
                <w:attr w:name="HasSpace" w:val="False"/>
                <w:attr w:name="SourceValue" w:val="622"/>
                <w:attr w:name="UnitName" w:val="kg"/>
              </w:smartTagPr>
              <w:r>
                <w:rPr>
                  <w:rFonts w:ascii="宋体" w:hAnsi="宋体" w:hint="eastAsia"/>
                </w:rPr>
                <w:t>622kg</w:t>
              </w:r>
            </w:smartTag>
          </w:p>
        </w:tc>
      </w:tr>
      <w:tr w:rsidR="00D615F2" w:rsidTr="0049459E">
        <w:tblPrEx>
          <w:tblCellMar>
            <w:top w:w="0" w:type="dxa"/>
            <w:bottom w:w="0" w:type="dxa"/>
          </w:tblCellMar>
        </w:tblPrEx>
        <w:trPr>
          <w:cantSplit/>
          <w:trHeight w:val="454"/>
        </w:trPr>
        <w:tc>
          <w:tcPr>
            <w:tcW w:w="882" w:type="dxa"/>
            <w:tcBorders>
              <w:top w:val="single" w:sz="4" w:space="0" w:color="auto"/>
              <w:bottom w:val="double" w:sz="4" w:space="0" w:color="auto"/>
              <w:right w:val="single" w:sz="4" w:space="0" w:color="auto"/>
            </w:tcBorders>
            <w:shd w:val="clear" w:color="auto" w:fill="E6E6E6"/>
            <w:vAlign w:val="center"/>
          </w:tcPr>
          <w:p w:rsidR="00D615F2" w:rsidRDefault="00D615F2" w:rsidP="0049459E">
            <w:pPr>
              <w:jc w:val="center"/>
              <w:rPr>
                <w:rFonts w:ascii="宋体" w:hAnsi="宋体" w:hint="eastAsia"/>
              </w:rPr>
            </w:pPr>
            <w:r>
              <w:rPr>
                <w:rFonts w:ascii="宋体" w:hAnsi="宋体" w:hint="eastAsia"/>
              </w:rPr>
              <w:t>5</w:t>
            </w:r>
          </w:p>
        </w:tc>
        <w:tc>
          <w:tcPr>
            <w:tcW w:w="2016" w:type="dxa"/>
            <w:tcBorders>
              <w:top w:val="single" w:sz="4" w:space="0" w:color="auto"/>
              <w:left w:val="single" w:sz="4" w:space="0" w:color="auto"/>
              <w:bottom w:val="double" w:sz="4" w:space="0" w:color="auto"/>
              <w:right w:val="single" w:sz="4" w:space="0" w:color="auto"/>
            </w:tcBorders>
            <w:shd w:val="clear" w:color="auto" w:fill="E6E6E6"/>
            <w:vAlign w:val="center"/>
          </w:tcPr>
          <w:p w:rsidR="00D615F2" w:rsidRDefault="00D615F2" w:rsidP="0049459E">
            <w:pPr>
              <w:rPr>
                <w:rFonts w:ascii="宋体" w:hAnsi="宋体" w:hint="eastAsia"/>
              </w:rPr>
            </w:pPr>
            <w:r>
              <w:rPr>
                <w:rFonts w:ascii="宋体" w:hAnsi="宋体" w:hint="eastAsia"/>
              </w:rPr>
              <w:t>IAT池</w:t>
            </w:r>
          </w:p>
        </w:tc>
        <w:tc>
          <w:tcPr>
            <w:tcW w:w="1764" w:type="dxa"/>
            <w:tcBorders>
              <w:top w:val="single" w:sz="4" w:space="0" w:color="auto"/>
              <w:left w:val="single" w:sz="4" w:space="0" w:color="auto"/>
              <w:bottom w:val="double" w:sz="4" w:space="0" w:color="auto"/>
              <w:right w:val="single" w:sz="4" w:space="0" w:color="auto"/>
            </w:tcBorders>
            <w:shd w:val="clear" w:color="auto" w:fill="E6E6E6"/>
            <w:vAlign w:val="center"/>
          </w:tcPr>
          <w:p w:rsidR="00D615F2" w:rsidRDefault="00D615F2" w:rsidP="0049459E">
            <w:pPr>
              <w:jc w:val="center"/>
              <w:rPr>
                <w:rFonts w:ascii="宋体" w:hAnsi="宋体" w:hint="eastAsia"/>
              </w:rPr>
            </w:pPr>
            <w:r>
              <w:rPr>
                <w:rFonts w:ascii="宋体" w:hAnsi="宋体" w:hint="eastAsia"/>
              </w:rPr>
              <w:t>92%</w:t>
            </w:r>
          </w:p>
        </w:tc>
        <w:tc>
          <w:tcPr>
            <w:tcW w:w="1638" w:type="dxa"/>
            <w:tcBorders>
              <w:top w:val="single" w:sz="4" w:space="0" w:color="auto"/>
              <w:left w:val="single" w:sz="4" w:space="0" w:color="auto"/>
              <w:bottom w:val="double" w:sz="4" w:space="0" w:color="auto"/>
              <w:right w:val="single" w:sz="4" w:space="0" w:color="auto"/>
            </w:tcBorders>
            <w:shd w:val="clear" w:color="auto" w:fill="E6E6E6"/>
            <w:vAlign w:val="center"/>
          </w:tcPr>
          <w:p w:rsidR="00D615F2" w:rsidRDefault="00D615F2" w:rsidP="0049459E">
            <w:pPr>
              <w:ind w:firstLineChars="107" w:firstLine="257"/>
              <w:rPr>
                <w:rFonts w:ascii="宋体" w:hAnsi="宋体" w:hint="eastAsia"/>
              </w:rPr>
            </w:pPr>
            <w:r>
              <w:rPr>
                <w:rFonts w:ascii="宋体" w:hAnsi="宋体" w:hint="eastAsia"/>
              </w:rPr>
              <w:t>18.4mg/l</w:t>
            </w:r>
          </w:p>
        </w:tc>
        <w:tc>
          <w:tcPr>
            <w:tcW w:w="1638" w:type="dxa"/>
            <w:tcBorders>
              <w:top w:val="single" w:sz="4" w:space="0" w:color="auto"/>
              <w:left w:val="single" w:sz="4" w:space="0" w:color="auto"/>
              <w:bottom w:val="double" w:sz="4" w:space="0" w:color="auto"/>
            </w:tcBorders>
            <w:shd w:val="clear" w:color="auto" w:fill="E6E6E6"/>
            <w:vAlign w:val="center"/>
          </w:tcPr>
          <w:p w:rsidR="00D615F2" w:rsidRDefault="00D615F2" w:rsidP="0049459E">
            <w:pPr>
              <w:jc w:val="center"/>
              <w:rPr>
                <w:rFonts w:ascii="宋体" w:hAnsi="宋体" w:hint="eastAsia"/>
              </w:rPr>
            </w:pPr>
            <w:smartTag w:uri="urn:schemas-microsoft-com:office:smarttags" w:element="chmetcnv">
              <w:smartTagPr>
                <w:attr w:name="TCSC" w:val="0"/>
                <w:attr w:name="NumberType" w:val="1"/>
                <w:attr w:name="Negative" w:val="False"/>
                <w:attr w:name="HasSpace" w:val="False"/>
                <w:attr w:name="SourceValue" w:val="382"/>
                <w:attr w:name="UnitName" w:val="kg"/>
              </w:smartTagPr>
              <w:r>
                <w:rPr>
                  <w:rFonts w:ascii="宋体" w:hAnsi="宋体" w:hint="eastAsia"/>
                </w:rPr>
                <w:t>382kg</w:t>
              </w:r>
            </w:smartTag>
          </w:p>
        </w:tc>
      </w:tr>
    </w:tbl>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D615F2" w:rsidRDefault="00D615F2" w:rsidP="00D615F2">
      <w:pPr>
        <w:rPr>
          <w:rFonts w:ascii="宋体" w:hAnsi="宋体" w:hint="eastAsia"/>
        </w:rPr>
      </w:pPr>
    </w:p>
    <w:p w:rsidR="00354B68" w:rsidRDefault="00354B68"/>
    <w:sectPr w:rsidR="00354B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B68" w:rsidRDefault="00354B68" w:rsidP="00D615F2">
      <w:r>
        <w:separator/>
      </w:r>
    </w:p>
  </w:endnote>
  <w:endnote w:type="continuationSeparator" w:id="1">
    <w:p w:rsidR="00354B68" w:rsidRDefault="00354B68" w:rsidP="00D615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B68" w:rsidRDefault="00354B68" w:rsidP="00D615F2">
      <w:r>
        <w:separator/>
      </w:r>
    </w:p>
  </w:footnote>
  <w:footnote w:type="continuationSeparator" w:id="1">
    <w:p w:rsidR="00354B68" w:rsidRDefault="00354B68" w:rsidP="00D615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15F2"/>
    <w:rsid w:val="00354B68"/>
    <w:rsid w:val="00830F3A"/>
    <w:rsid w:val="00BE63AE"/>
    <w:rsid w:val="00D615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F2"/>
    <w:pPr>
      <w:widowControl w:val="0"/>
      <w:jc w:val="both"/>
    </w:pPr>
    <w:rPr>
      <w:rFonts w:ascii="Times New Roman" w:eastAsia="宋体" w:hAnsi="Times New Roman" w:cs="Times New Roman"/>
      <w:sz w:val="24"/>
      <w:szCs w:val="24"/>
    </w:rPr>
  </w:style>
  <w:style w:type="paragraph" w:styleId="1">
    <w:name w:val="heading 1"/>
    <w:basedOn w:val="a"/>
    <w:next w:val="a"/>
    <w:link w:val="1Char"/>
    <w:qFormat/>
    <w:rsid w:val="00D615F2"/>
    <w:pPr>
      <w:keepNext/>
      <w:keepLines/>
      <w:spacing w:before="300" w:after="290"/>
      <w:outlineLvl w:val="0"/>
    </w:pPr>
    <w:rPr>
      <w:b/>
      <w:bCs/>
      <w:kern w:val="44"/>
      <w:sz w:val="28"/>
      <w:szCs w:val="44"/>
    </w:rPr>
  </w:style>
  <w:style w:type="paragraph" w:styleId="2">
    <w:name w:val="heading 2"/>
    <w:basedOn w:val="a"/>
    <w:next w:val="a"/>
    <w:link w:val="2Char"/>
    <w:qFormat/>
    <w:rsid w:val="00D615F2"/>
    <w:pPr>
      <w:keepNext/>
      <w:keepLines/>
      <w:spacing w:before="200" w:after="190"/>
      <w:outlineLvl w:val="1"/>
    </w:pPr>
    <w:rPr>
      <w:rFonts w:ascii="Arial" w:eastAsia="黑体" w:hAnsi="Arial"/>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5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15F2"/>
    <w:rPr>
      <w:sz w:val="18"/>
      <w:szCs w:val="18"/>
    </w:rPr>
  </w:style>
  <w:style w:type="paragraph" w:styleId="a4">
    <w:name w:val="footer"/>
    <w:basedOn w:val="a"/>
    <w:link w:val="Char0"/>
    <w:uiPriority w:val="99"/>
    <w:semiHidden/>
    <w:unhideWhenUsed/>
    <w:rsid w:val="00D615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15F2"/>
    <w:rPr>
      <w:sz w:val="18"/>
      <w:szCs w:val="18"/>
    </w:rPr>
  </w:style>
  <w:style w:type="character" w:customStyle="1" w:styleId="1Char">
    <w:name w:val="标题 1 Char"/>
    <w:basedOn w:val="a0"/>
    <w:link w:val="1"/>
    <w:rsid w:val="00D615F2"/>
    <w:rPr>
      <w:rFonts w:ascii="Times New Roman" w:eastAsia="宋体" w:hAnsi="Times New Roman" w:cs="Times New Roman"/>
      <w:b/>
      <w:bCs/>
      <w:kern w:val="44"/>
      <w:sz w:val="28"/>
      <w:szCs w:val="44"/>
    </w:rPr>
  </w:style>
  <w:style w:type="character" w:customStyle="1" w:styleId="2Char">
    <w:name w:val="标题 2 Char"/>
    <w:basedOn w:val="a0"/>
    <w:link w:val="2"/>
    <w:rsid w:val="00D615F2"/>
    <w:rPr>
      <w:rFonts w:ascii="Arial" w:eastAsia="黑体" w:hAnsi="Arial" w:cs="Times New Roman"/>
      <w:bCs/>
      <w:sz w:val="24"/>
      <w:szCs w:val="32"/>
    </w:rPr>
  </w:style>
  <w:style w:type="paragraph" w:styleId="10">
    <w:name w:val="toc 1"/>
    <w:basedOn w:val="a"/>
    <w:next w:val="a"/>
    <w:autoRedefine/>
    <w:semiHidden/>
    <w:rsid w:val="00D615F2"/>
    <w:pPr>
      <w:ind w:firstLineChars="7" w:firstLine="18"/>
      <w:jc w:val="center"/>
    </w:pPr>
    <w:rPr>
      <w:rFonts w:ascii="宋体" w:hAnsi="宋体"/>
    </w:rPr>
  </w:style>
  <w:style w:type="paragraph" w:styleId="20">
    <w:name w:val="Body Text Indent 2"/>
    <w:basedOn w:val="a"/>
    <w:link w:val="2Char0"/>
    <w:rsid w:val="00D615F2"/>
    <w:pPr>
      <w:ind w:firstLineChars="100" w:firstLine="222"/>
    </w:pPr>
    <w:rPr>
      <w:sz w:val="21"/>
    </w:rPr>
  </w:style>
  <w:style w:type="character" w:customStyle="1" w:styleId="2Char0">
    <w:name w:val="正文文本缩进 2 Char"/>
    <w:basedOn w:val="a0"/>
    <w:link w:val="20"/>
    <w:rsid w:val="00D615F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540</Words>
  <Characters>3080</Characters>
  <Application>Microsoft Office Word</Application>
  <DocSecurity>0</DocSecurity>
  <Lines>25</Lines>
  <Paragraphs>7</Paragraphs>
  <ScaleCrop>false</ScaleCrop>
  <Company>微软中国</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2013-10-09T02:17:00Z</dcterms:created>
  <dcterms:modified xsi:type="dcterms:W3CDTF">2013-10-09T02:29:00Z</dcterms:modified>
</cp:coreProperties>
</file>