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bCs/>
          <w:kern w:val="0"/>
          <w:sz w:val="24"/>
          <w:szCs w:val="24"/>
        </w:rPr>
      </w:pPr>
    </w:p>
    <w:p w:rsid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bCs/>
          <w:kern w:val="0"/>
          <w:sz w:val="24"/>
          <w:szCs w:val="24"/>
        </w:rPr>
      </w:pPr>
    </w:p>
    <w:p w:rsidR="00525475" w:rsidRP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525475">
        <w:rPr>
          <w:rFonts w:asciiTheme="minorEastAsia" w:hAnsiTheme="minorEastAsia" w:cs="Tahoma"/>
          <w:b/>
          <w:bCs/>
          <w:kern w:val="0"/>
          <w:sz w:val="24"/>
          <w:szCs w:val="24"/>
        </w:rPr>
        <w:t>名称：</w:t>
      </w:r>
      <w:r w:rsidRPr="00525475">
        <w:rPr>
          <w:rFonts w:asciiTheme="minorEastAsia" w:hAnsiTheme="minorEastAsia" w:cs="Tahoma"/>
          <w:b/>
          <w:kern w:val="0"/>
          <w:sz w:val="24"/>
          <w:szCs w:val="24"/>
        </w:rPr>
        <w:t>音叉液位开关紧凑型</w:t>
      </w:r>
    </w:p>
    <w:p w:rsidR="00525475" w:rsidRPr="00525475" w:rsidRDefault="00525475" w:rsidP="00525475">
      <w:pPr>
        <w:widowControl/>
        <w:pBdr>
          <w:bottom w:val="dashed" w:sz="6" w:space="0" w:color="999999"/>
        </w:pBdr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525475">
        <w:rPr>
          <w:rFonts w:asciiTheme="minorEastAsia" w:hAnsiTheme="minorEastAsia" w:cs="Tahoma"/>
          <w:b/>
          <w:bCs/>
          <w:kern w:val="0"/>
          <w:sz w:val="24"/>
          <w:szCs w:val="24"/>
        </w:rPr>
        <w:t>型号：</w:t>
      </w:r>
      <w:r w:rsidRPr="00525475">
        <w:rPr>
          <w:rFonts w:asciiTheme="minorEastAsia" w:hAnsiTheme="minorEastAsia" w:cs="Tahoma"/>
          <w:b/>
          <w:kern w:val="0"/>
          <w:sz w:val="24"/>
          <w:szCs w:val="24"/>
        </w:rPr>
        <w:t>VHL</w:t>
      </w:r>
    </w:p>
    <w:p w:rsid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bCs/>
          <w:kern w:val="0"/>
          <w:sz w:val="24"/>
          <w:szCs w:val="24"/>
        </w:rPr>
      </w:pPr>
    </w:p>
    <w:p w:rsid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bCs/>
          <w:kern w:val="0"/>
          <w:sz w:val="24"/>
          <w:szCs w:val="24"/>
        </w:rPr>
      </w:pPr>
    </w:p>
    <w:p w:rsidR="00525475" w:rsidRP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525475">
        <w:rPr>
          <w:rFonts w:asciiTheme="minorEastAsia" w:hAnsiTheme="minorEastAsia" w:cs="Tahoma"/>
          <w:b/>
          <w:bCs/>
          <w:kern w:val="0"/>
          <w:sz w:val="24"/>
          <w:szCs w:val="24"/>
        </w:rPr>
        <w:t>概述：</w:t>
      </w:r>
    </w:p>
    <w:p w:rsidR="00525475" w:rsidRP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</w:p>
    <w:p w:rsidR="00525475" w:rsidRDefault="00525475" w:rsidP="00525475">
      <w:pPr>
        <w:widowControl/>
        <w:spacing w:line="330" w:lineRule="atLeast"/>
        <w:ind w:firstLineChars="200" w:firstLine="420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 w:hint="eastAsia"/>
          <w:kern w:val="0"/>
          <w:szCs w:val="21"/>
        </w:rPr>
        <w:t>美国BlueLevel音叉液位开关紧凑型VHL广泛应用在过程工业中，适用于几乎所有液体场合。依据音叉开关的工作原理，内部压电晶体以自然频率振动外部的音叉。频率的变化取决于它浸入的介质。液体密度越大，频率就越低。采用自然频率高达约1400Hz的短音叉，可避免设备的振动干扰，否则可能会导致错误报警。音叉在工作状态时可让液体迅速滴落消退，通过监控频率也能确定音叉的状态。</w:t>
      </w:r>
    </w:p>
    <w:p w:rsidR="00525475" w:rsidRPr="00525475" w:rsidRDefault="00525475" w:rsidP="00525475">
      <w:pPr>
        <w:widowControl/>
        <w:spacing w:line="330" w:lineRule="atLeast"/>
        <w:ind w:firstLineChars="200" w:firstLine="420"/>
        <w:jc w:val="left"/>
        <w:rPr>
          <w:rFonts w:asciiTheme="minorEastAsia" w:hAnsiTheme="minorEastAsia" w:cs="Tahoma"/>
          <w:kern w:val="0"/>
          <w:szCs w:val="21"/>
        </w:rPr>
      </w:pPr>
    </w:p>
    <w:p w:rsidR="00525475" w:rsidRDefault="00525475" w:rsidP="00525475">
      <w:pPr>
        <w:jc w:val="left"/>
        <w:rPr>
          <w:rFonts w:asciiTheme="minorEastAsia" w:hAnsiTheme="minorEastAsia" w:cs="Tahoma"/>
          <w:b/>
          <w:sz w:val="24"/>
          <w:szCs w:val="24"/>
        </w:rPr>
      </w:pPr>
      <w:r w:rsidRPr="00525475">
        <w:rPr>
          <w:rFonts w:asciiTheme="minorEastAsia" w:hAnsiTheme="minorEastAsia" w:cs="Tahoma" w:hint="eastAsia"/>
          <w:b/>
          <w:sz w:val="24"/>
          <w:szCs w:val="24"/>
        </w:rPr>
        <w:t>工作原理：</w:t>
      </w:r>
    </w:p>
    <w:p w:rsidR="00525475" w:rsidRPr="00525475" w:rsidRDefault="00525475" w:rsidP="00525475">
      <w:pPr>
        <w:jc w:val="left"/>
        <w:rPr>
          <w:rFonts w:asciiTheme="minorEastAsia" w:hAnsiTheme="minorEastAsia" w:cs="Tahoma"/>
          <w:b/>
          <w:sz w:val="24"/>
          <w:szCs w:val="24"/>
        </w:rPr>
      </w:pPr>
    </w:p>
    <w:p w:rsidR="00525475" w:rsidRDefault="00525475" w:rsidP="00525475">
      <w:pPr>
        <w:ind w:firstLineChars="200" w:firstLine="420"/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音叉液位开关又称为“电气浮子”，在使用浮球开关或由于结构、搅动、溢流、气泡、振动等原因无法使用浮球开关的场合均可使用“电气浮子”。由于该液位开关无移动部件，所以无需调整和免维护，是浮球开关的升级和补充产品。广泛应用于轻工、石化、食品、水处理等行业，对液位进行上下限控制及报警。</w:t>
      </w:r>
    </w:p>
    <w:p w:rsidR="00525475" w:rsidRPr="00525475" w:rsidRDefault="00525475" w:rsidP="00525475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ahom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1240155</wp:posOffset>
            </wp:positionV>
            <wp:extent cx="7248525" cy="2362200"/>
            <wp:effectExtent l="19050" t="0" r="9525" b="0"/>
            <wp:wrapTight wrapText="bothSides">
              <wp:wrapPolygon edited="0">
                <wp:start x="-57" y="0"/>
                <wp:lineTo x="-57" y="21426"/>
                <wp:lineTo x="21628" y="21426"/>
                <wp:lineTo x="21628" y="0"/>
                <wp:lineTo x="-57" y="0"/>
              </wp:wrapPolygon>
            </wp:wrapTight>
            <wp:docPr id="1" name="图片 1" descr="美国BlueLevel音叉液位开关安装注意事项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美国BlueLevel音叉液位开关安装注意事项-介可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475">
        <w:rPr>
          <w:rFonts w:asciiTheme="minorEastAsia" w:hAnsiTheme="minorEastAsia" w:cs="Tahoma"/>
          <w:szCs w:val="21"/>
        </w:rPr>
        <w:t>音叉是用压电激振器来驱动的，当遇到液体或液位时，振动减弱。由此转化为电子信号，使其继电器进行开关动作。</w:t>
      </w:r>
      <w:r w:rsidRPr="00525475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4924425" cy="2705100"/>
            <wp:effectExtent l="19050" t="0" r="9525" b="0"/>
            <wp:docPr id="2" name="图片 2" descr="美国BlueLevel音叉液位开关安装注意事项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美国BlueLevel音叉液位开关安装注意事项-介可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</w:p>
    <w:p w:rsidR="00525475" w:rsidRPr="00074D56" w:rsidRDefault="00525475" w:rsidP="00525475">
      <w:pPr>
        <w:jc w:val="left"/>
        <w:rPr>
          <w:rFonts w:asciiTheme="minorEastAsia" w:hAnsiTheme="minorEastAsia"/>
          <w:b/>
          <w:sz w:val="24"/>
          <w:szCs w:val="24"/>
        </w:rPr>
      </w:pPr>
      <w:r w:rsidRPr="00074D56">
        <w:rPr>
          <w:rFonts w:asciiTheme="minorEastAsia" w:hAnsiTheme="minorEastAsia" w:hint="eastAsia"/>
          <w:b/>
          <w:sz w:val="24"/>
          <w:szCs w:val="24"/>
        </w:rPr>
        <w:t>技术参数：</w:t>
      </w:r>
    </w:p>
    <w:p w:rsidR="00074D56" w:rsidRDefault="00074D56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探头规格：</w:t>
      </w:r>
    </w:p>
    <w:p w:rsidR="00074D56" w:rsidRDefault="00074D56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 xml:space="preserve"> </w:t>
      </w:r>
      <w:r w:rsidR="00525475" w:rsidRPr="00525475">
        <w:rPr>
          <w:rFonts w:asciiTheme="minorEastAsia" w:eastAsiaTheme="minorEastAsia" w:hAnsiTheme="minorEastAsia" w:cs="Tahoma"/>
          <w:sz w:val="21"/>
          <w:szCs w:val="21"/>
        </w:rPr>
        <w:t>- 短探头（2.7“/69mm）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- 标准探头（4.9“/125mm）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- 长的探针（7.9“/200mm）</w:t>
      </w:r>
    </w:p>
    <w:p w:rsidR="00525475" w:rsidRPr="00525475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- 扩展探头（12“-118”/300mm/3000mm）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技术数据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br/>
        <w:t>电源：20-255VAC, 50/60Hz；20-60VDC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损耗：AC: 1.2-17VA；DC: &lt;3W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外壳防护等级：IP67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过程密度：≥ 0.7 g/cm3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最大压力：40 bar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最大粘度：10,000 cSt (mm2/s)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介质温度：-40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F to +266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F(-40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C to +130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C)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环境温度：-22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F to +158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F(-30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C to +70</w:t>
      </w:r>
      <w:r w:rsidRPr="00525475">
        <w:rPr>
          <w:rFonts w:asciiTheme="minorEastAsia" w:eastAsiaTheme="minorEastAsia" w:hAnsi="Cambria Math" w:cs="Cambria Math"/>
          <w:sz w:val="21"/>
          <w:szCs w:val="21"/>
        </w:rPr>
        <w:t>⁰</w:t>
      </w:r>
      <w:r w:rsidRPr="00525475">
        <w:rPr>
          <w:rFonts w:asciiTheme="minorEastAsia" w:eastAsiaTheme="minorEastAsia" w:hAnsiTheme="minorEastAsia" w:cs="Tahoma"/>
          <w:sz w:val="21"/>
          <w:szCs w:val="21"/>
        </w:rPr>
        <w:t>C)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双色指示灯LED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报警 – 红色；正常 – 绿色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继电器输出SPDT,8A @ 250VAC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探头材质: 316Ti 不锈钢(DIN 1.4571)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外壳材质: PBT 增强纤维, 阻燃, 涂层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认证: CE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高液位</w:t>
      </w:r>
    </w:p>
    <w:p w:rsidR="00074D56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低液位</w:t>
      </w:r>
    </w:p>
    <w:p w:rsidR="00525475" w:rsidRPr="00525475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  <w:r w:rsidRPr="00525475">
        <w:rPr>
          <w:rFonts w:asciiTheme="minorEastAsia" w:eastAsiaTheme="minorEastAsia" w:hAnsiTheme="minorEastAsia" w:cs="Tahoma"/>
          <w:sz w:val="21"/>
          <w:szCs w:val="21"/>
        </w:rPr>
        <w:t>流量开关</w:t>
      </w:r>
    </w:p>
    <w:p w:rsidR="00525475" w:rsidRPr="00525475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</w:p>
    <w:p w:rsidR="00525475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</w:p>
    <w:p w:rsidR="00074D56" w:rsidRDefault="00074D56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</w:p>
    <w:p w:rsidR="00074D56" w:rsidRPr="00525475" w:rsidRDefault="00074D56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sz w:val="21"/>
          <w:szCs w:val="21"/>
        </w:rPr>
      </w:pPr>
    </w:p>
    <w:p w:rsidR="00525475" w:rsidRDefault="00525475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b/>
        </w:rPr>
      </w:pPr>
      <w:r w:rsidRPr="00074D56">
        <w:rPr>
          <w:rFonts w:asciiTheme="minorEastAsia" w:eastAsiaTheme="minorEastAsia" w:hAnsiTheme="minorEastAsia" w:cs="Tahoma" w:hint="eastAsia"/>
          <w:b/>
        </w:rPr>
        <w:lastRenderedPageBreak/>
        <w:t>应用范围图解：</w:t>
      </w:r>
    </w:p>
    <w:p w:rsidR="00074D56" w:rsidRPr="00074D56" w:rsidRDefault="00074D56" w:rsidP="00525475">
      <w:pPr>
        <w:pStyle w:val="a6"/>
        <w:spacing w:before="0" w:beforeAutospacing="0" w:after="0" w:afterAutospacing="0" w:line="270" w:lineRule="atLeast"/>
        <w:rPr>
          <w:rFonts w:asciiTheme="minorEastAsia" w:eastAsiaTheme="minorEastAsia" w:hAnsiTheme="minorEastAsia" w:cs="Tahoma"/>
          <w:b/>
        </w:rPr>
      </w:pP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  <w:r w:rsidRPr="0052547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5138685"/>
            <wp:effectExtent l="19050" t="0" r="2540" b="0"/>
            <wp:docPr id="11" name="图片 11" descr="c:\DOCUME~1\ADMINI~1\APPLIC~1\360se6\USERDA~1\Temp\201308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ADMINI~1\APPLIC~1\360se6\USERDA~1\Temp\201308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</w:p>
    <w:p w:rsidR="00525475" w:rsidRP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074D56">
        <w:rPr>
          <w:rFonts w:asciiTheme="minorEastAsia" w:hAnsiTheme="minorEastAsia" w:cs="Tahoma"/>
          <w:b/>
          <w:bCs/>
          <w:kern w:val="0"/>
          <w:sz w:val="24"/>
          <w:szCs w:val="24"/>
        </w:rPr>
        <w:t>名称：</w:t>
      </w:r>
      <w:r w:rsidRPr="00525475">
        <w:rPr>
          <w:rFonts w:asciiTheme="minorEastAsia" w:hAnsiTheme="minorEastAsia" w:cs="Tahoma"/>
          <w:b/>
          <w:kern w:val="0"/>
          <w:sz w:val="24"/>
          <w:szCs w:val="24"/>
        </w:rPr>
        <w:t>音叉料位开关</w:t>
      </w:r>
    </w:p>
    <w:p w:rsidR="00525475" w:rsidRPr="00525475" w:rsidRDefault="00525475" w:rsidP="00525475">
      <w:pPr>
        <w:widowControl/>
        <w:pBdr>
          <w:bottom w:val="dashed" w:sz="6" w:space="0" w:color="999999"/>
        </w:pBdr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074D56">
        <w:rPr>
          <w:rFonts w:asciiTheme="minorEastAsia" w:hAnsiTheme="minorEastAsia" w:cs="Tahoma"/>
          <w:b/>
          <w:bCs/>
          <w:kern w:val="0"/>
          <w:sz w:val="24"/>
          <w:szCs w:val="24"/>
        </w:rPr>
        <w:t>型号：</w:t>
      </w:r>
      <w:r w:rsidRPr="00525475">
        <w:rPr>
          <w:rFonts w:asciiTheme="minorEastAsia" w:hAnsiTheme="minorEastAsia" w:cs="Tahoma"/>
          <w:b/>
          <w:kern w:val="0"/>
          <w:sz w:val="24"/>
          <w:szCs w:val="24"/>
        </w:rPr>
        <w:t>VHS</w:t>
      </w:r>
    </w:p>
    <w:p w:rsidR="00074D56" w:rsidRDefault="00074D56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bCs/>
          <w:kern w:val="0"/>
          <w:sz w:val="24"/>
          <w:szCs w:val="24"/>
        </w:rPr>
      </w:pPr>
    </w:p>
    <w:p w:rsidR="00525475" w:rsidRP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074D56">
        <w:rPr>
          <w:rFonts w:asciiTheme="minorEastAsia" w:hAnsiTheme="minorEastAsia" w:cs="Tahoma"/>
          <w:b/>
          <w:bCs/>
          <w:kern w:val="0"/>
          <w:sz w:val="24"/>
          <w:szCs w:val="24"/>
        </w:rPr>
        <w:t>概述：</w:t>
      </w:r>
    </w:p>
    <w:p w:rsidR="00074D56" w:rsidRPr="00525475" w:rsidRDefault="00074D56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采用压电晶体技术的VHS用来监测物料物位状况，以及控制干燥的自由流动的粉末，颗粒状物料的物位。该产品无需校准，在应用中有物料变化或者容器容量变化的情况时，是射频导纳/电容式传感器最佳替代产品。该产品最适合监测超轻质材料，如低至0.624磅每立方英尺（0.01千克每立方分米）的材料。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坚固的棒式设计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LED指示正常/报警状态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通用AC/ DC电源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lastRenderedPageBreak/>
        <w:t>无需校准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固态设计，没有移动部件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拧开覆盖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可选择的高/低故障安全输出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可拆卸接线端子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双导管入口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kern w:val="0"/>
          <w:szCs w:val="21"/>
        </w:rPr>
        <w:t>旋转的外壳，简化管道对齐 </w:t>
      </w:r>
    </w:p>
    <w:p w:rsidR="00074D56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noProof/>
          <w:kern w:val="0"/>
          <w:szCs w:val="21"/>
        </w:rPr>
        <w:drawing>
          <wp:inline distT="0" distB="0" distL="0" distR="0">
            <wp:extent cx="2895600" cy="3333750"/>
            <wp:effectExtent l="19050" t="0" r="0" b="0"/>
            <wp:docPr id="20" name="图片 20" descr="美国BlueLevel音叉物位开关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美国BlueLevel音叉物位开关-介可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56" w:rsidRDefault="00074D56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</w:p>
    <w:p w:rsidR="00525475" w:rsidRPr="00525475" w:rsidRDefault="00525475" w:rsidP="00525475">
      <w:pPr>
        <w:widowControl/>
        <w:spacing w:line="330" w:lineRule="atLeast"/>
        <w:jc w:val="left"/>
        <w:rPr>
          <w:rFonts w:asciiTheme="minorEastAsia" w:hAnsiTheme="minorEastAsia" w:cs="Tahoma"/>
          <w:kern w:val="0"/>
          <w:szCs w:val="21"/>
        </w:rPr>
      </w:pPr>
      <w:r w:rsidRPr="00525475">
        <w:rPr>
          <w:rFonts w:asciiTheme="minorEastAsia" w:hAnsiTheme="minorEastAsia" w:cs="Tahoma"/>
          <w:noProof/>
          <w:kern w:val="0"/>
          <w:szCs w:val="21"/>
        </w:rPr>
        <w:drawing>
          <wp:inline distT="0" distB="0" distL="0" distR="0">
            <wp:extent cx="3333750" cy="3333750"/>
            <wp:effectExtent l="19050" t="0" r="0" b="0"/>
            <wp:docPr id="21" name="图片 21" descr="美国BlueLevel音叉物位开关应用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美国BlueLevel音叉物位开关应用-介可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75">
        <w:rPr>
          <w:rFonts w:asciiTheme="minorEastAsia" w:hAnsiTheme="minorEastAsia" w:cs="Tahoma"/>
          <w:kern w:val="0"/>
          <w:szCs w:val="21"/>
        </w:rPr>
        <w:br/>
      </w:r>
      <w:r w:rsidRPr="00525475">
        <w:rPr>
          <w:rFonts w:asciiTheme="minorEastAsia" w:hAnsiTheme="minorEastAsia" w:cs="Tahoma"/>
          <w:kern w:val="0"/>
          <w:szCs w:val="21"/>
        </w:rPr>
        <w:br/>
      </w:r>
      <w:r w:rsidRPr="00525475">
        <w:rPr>
          <w:rFonts w:asciiTheme="minorEastAsia" w:hAnsiTheme="minorEastAsia" w:cs="Tahoma"/>
          <w:noProof/>
          <w:kern w:val="0"/>
          <w:szCs w:val="21"/>
        </w:rPr>
        <w:lastRenderedPageBreak/>
        <w:drawing>
          <wp:inline distT="0" distB="0" distL="0" distR="0">
            <wp:extent cx="3333750" cy="3333750"/>
            <wp:effectExtent l="19050" t="0" r="0" b="0"/>
            <wp:docPr id="22" name="图片 22" descr="美国BlueLevel音叉物位开关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美国BlueLevel音叉物位开关-介可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75">
        <w:rPr>
          <w:rFonts w:asciiTheme="minorEastAsia" w:hAnsiTheme="minorEastAsia" w:cs="Tahoma"/>
          <w:kern w:val="0"/>
          <w:szCs w:val="21"/>
        </w:rPr>
        <w:br/>
      </w:r>
      <w:r w:rsidRPr="00525475">
        <w:rPr>
          <w:rFonts w:asciiTheme="minorEastAsia" w:hAnsiTheme="minorEastAsia" w:cs="Tahoma"/>
          <w:kern w:val="0"/>
          <w:szCs w:val="21"/>
        </w:rPr>
        <w:br/>
      </w:r>
      <w:r w:rsidRPr="00525475">
        <w:rPr>
          <w:rFonts w:asciiTheme="minorEastAsia" w:hAnsiTheme="minorEastAsia" w:cs="Tahoma"/>
          <w:noProof/>
          <w:kern w:val="0"/>
          <w:szCs w:val="21"/>
        </w:rPr>
        <w:drawing>
          <wp:inline distT="0" distB="0" distL="0" distR="0">
            <wp:extent cx="3333750" cy="2495550"/>
            <wp:effectExtent l="19050" t="0" r="0" b="0"/>
            <wp:docPr id="23" name="图片 23" descr="美国BlueLevel音叉物位开关-介可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美国BlueLevel音叉物位开关-介可视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56" w:rsidRDefault="00074D56" w:rsidP="0052547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74D56" w:rsidRDefault="00074D56" w:rsidP="00525475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25475" w:rsidRDefault="00525475" w:rsidP="00525475">
      <w:pPr>
        <w:jc w:val="left"/>
        <w:rPr>
          <w:rFonts w:asciiTheme="minorEastAsia" w:hAnsiTheme="minorEastAsia" w:cs="Tahoma"/>
          <w:b/>
          <w:sz w:val="24"/>
          <w:szCs w:val="24"/>
        </w:rPr>
      </w:pPr>
      <w:r w:rsidRPr="00074D56">
        <w:rPr>
          <w:rFonts w:asciiTheme="minorEastAsia" w:hAnsiTheme="minorEastAsia" w:cs="Tahoma" w:hint="eastAsia"/>
          <w:b/>
          <w:sz w:val="24"/>
          <w:szCs w:val="24"/>
        </w:rPr>
        <w:t>技术参数：</w:t>
      </w:r>
    </w:p>
    <w:p w:rsidR="00074D56" w:rsidRPr="00074D56" w:rsidRDefault="00074D56" w:rsidP="00525475">
      <w:pPr>
        <w:jc w:val="left"/>
        <w:rPr>
          <w:rFonts w:asciiTheme="minorEastAsia" w:hAnsiTheme="minorEastAsia" w:cs="Tahoma"/>
          <w:b/>
          <w:sz w:val="24"/>
          <w:szCs w:val="24"/>
        </w:rPr>
      </w:pP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电源</w:t>
      </w:r>
      <w:r w:rsidR="00074D56">
        <w:rPr>
          <w:rFonts w:asciiTheme="minorEastAsia" w:hAnsiTheme="minorEastAsia" w:cs="Tahoma"/>
          <w:szCs w:val="21"/>
        </w:rPr>
        <w:t>           </w:t>
      </w:r>
      <w:r w:rsidRPr="00525475">
        <w:rPr>
          <w:rFonts w:asciiTheme="minorEastAsia" w:hAnsiTheme="minorEastAsia" w:cs="Tahoma"/>
          <w:szCs w:val="21"/>
        </w:rPr>
        <w:t>通用20-255VAC/DC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灵敏度         可选，最小密度是3.12lbs/ft³（或50kg0.05kg/dm³/立方米）</w:t>
      </w:r>
      <w:r w:rsidR="00074D56">
        <w:rPr>
          <w:rFonts w:asciiTheme="minorEastAsia" w:hAnsiTheme="minorEastAsia" w:cs="Tahoma" w:hint="eastAsia"/>
          <w:szCs w:val="21"/>
        </w:rPr>
        <w:t>、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时间延迟      </w:t>
      </w:r>
      <w:r w:rsidR="00074D56">
        <w:rPr>
          <w:rFonts w:asciiTheme="minorEastAsia" w:hAnsiTheme="minorEastAsia" w:cs="Tahoma" w:hint="eastAsia"/>
          <w:szCs w:val="21"/>
        </w:rPr>
        <w:t xml:space="preserve"> </w:t>
      </w:r>
      <w:r w:rsidRPr="00525475">
        <w:rPr>
          <w:rFonts w:asciiTheme="minorEastAsia" w:hAnsiTheme="minorEastAsia" w:cs="Tahoma"/>
          <w:szCs w:val="21"/>
        </w:rPr>
        <w:t>可选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                 - 覆盖时：&lt;1.8秒或5±1.5秒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                 - 暴露时：&lt;2秒或5±1.5秒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故障保护     可选择 - 高或低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壳体           压铸铝，符合FDA要求的粉末涂层，NEMA类型4X，IP65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过程连接     1-1/2“ NPT 不锈钢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探头材料     316Ti不锈钢板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lastRenderedPageBreak/>
        <w:t>过程温度     标准探头-22°F至230°F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                 （-30°C至+110°C）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                 高温杆-22°F至320°F</w:t>
      </w:r>
    </w:p>
    <w:p w:rsidR="00074D56" w:rsidRDefault="00525475" w:rsidP="00525475">
      <w:pPr>
        <w:jc w:val="left"/>
        <w:rPr>
          <w:rFonts w:asciiTheme="minorEastAsia" w:hAnsiTheme="minorEastAsia" w:cs="Tahoma"/>
          <w:szCs w:val="21"/>
        </w:rPr>
      </w:pPr>
      <w:r w:rsidRPr="00525475">
        <w:rPr>
          <w:rFonts w:asciiTheme="minorEastAsia" w:hAnsiTheme="minorEastAsia" w:cs="Tahoma"/>
          <w:szCs w:val="21"/>
        </w:rPr>
        <w:t>                （-30°C至+160°C）</w:t>
      </w:r>
    </w:p>
    <w:p w:rsidR="00525475" w:rsidRPr="00525475" w:rsidRDefault="00525475" w:rsidP="00525475">
      <w:pPr>
        <w:jc w:val="left"/>
        <w:rPr>
          <w:rFonts w:asciiTheme="minorEastAsia" w:hAnsiTheme="minorEastAsia"/>
          <w:szCs w:val="21"/>
        </w:rPr>
      </w:pPr>
      <w:r w:rsidRPr="00525475">
        <w:rPr>
          <w:rFonts w:asciiTheme="minorEastAsia" w:hAnsiTheme="minorEastAsia" w:cs="Tahoma"/>
          <w:szCs w:val="21"/>
        </w:rPr>
        <w:t>认证           CE标志认证</w:t>
      </w:r>
    </w:p>
    <w:p w:rsidR="00074D56" w:rsidRDefault="00074D56" w:rsidP="00074D56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846C8" w:rsidRDefault="00525475" w:rsidP="00074D56">
      <w:pPr>
        <w:jc w:val="left"/>
        <w:rPr>
          <w:rFonts w:asciiTheme="minorEastAsia" w:hAnsiTheme="minorEastAsia"/>
          <w:b/>
          <w:sz w:val="24"/>
          <w:szCs w:val="24"/>
        </w:rPr>
      </w:pPr>
      <w:r w:rsidRPr="00074D56">
        <w:rPr>
          <w:rFonts w:asciiTheme="minorEastAsia" w:hAnsiTheme="minorEastAsia" w:hint="eastAsia"/>
          <w:b/>
          <w:sz w:val="24"/>
          <w:szCs w:val="24"/>
        </w:rPr>
        <w:t>应用范围：</w:t>
      </w:r>
    </w:p>
    <w:p w:rsidR="00074D56" w:rsidRPr="00074D56" w:rsidRDefault="00074D56" w:rsidP="00074D56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25475" w:rsidRPr="00525475" w:rsidRDefault="00525475" w:rsidP="00525475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525475">
        <w:rPr>
          <w:rFonts w:asciiTheme="minorEastAsia" w:hAnsiTheme="minorEastAsia" w:cs="Tahoma"/>
          <w:szCs w:val="21"/>
        </w:rPr>
        <w:t>VHS用于监测回收箱，料斗和筒仓里的物料物位状况。在测量干燥和自由流动的物料时表现最佳。VHS用于检测轻质材料，具有密度低3.12磅/立方英尺（0.05公斤/立方分米）。该产品无需校准，在应用中有物料变化或者容器容量变化的情况时，是射频导纳/电容式传感器最佳替代产品。广泛应用于轻工、石化、食品、水处理等行业，对液位进行上下限控制及报警。</w:t>
      </w:r>
    </w:p>
    <w:sectPr w:rsidR="00525475" w:rsidRPr="00525475" w:rsidSect="0098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97" w:rsidRDefault="00AE4297" w:rsidP="00525475">
      <w:r>
        <w:separator/>
      </w:r>
    </w:p>
  </w:endnote>
  <w:endnote w:type="continuationSeparator" w:id="1">
    <w:p w:rsidR="00AE4297" w:rsidRDefault="00AE4297" w:rsidP="0052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97" w:rsidRDefault="00AE4297" w:rsidP="00525475">
      <w:r>
        <w:separator/>
      </w:r>
    </w:p>
  </w:footnote>
  <w:footnote w:type="continuationSeparator" w:id="1">
    <w:p w:rsidR="00AE4297" w:rsidRDefault="00AE4297" w:rsidP="00525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475"/>
    <w:rsid w:val="00074D56"/>
    <w:rsid w:val="00525475"/>
    <w:rsid w:val="00600F8E"/>
    <w:rsid w:val="009846C8"/>
    <w:rsid w:val="00A81BCC"/>
    <w:rsid w:val="00A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475"/>
    <w:rPr>
      <w:sz w:val="18"/>
      <w:szCs w:val="18"/>
    </w:rPr>
  </w:style>
  <w:style w:type="character" w:styleId="a5">
    <w:name w:val="Strong"/>
    <w:basedOn w:val="a0"/>
    <w:uiPriority w:val="22"/>
    <w:qFormat/>
    <w:rsid w:val="00525475"/>
    <w:rPr>
      <w:b/>
      <w:bCs/>
    </w:rPr>
  </w:style>
  <w:style w:type="paragraph" w:styleId="a6">
    <w:name w:val="Normal (Web)"/>
    <w:basedOn w:val="a"/>
    <w:uiPriority w:val="99"/>
    <w:semiHidden/>
    <w:unhideWhenUsed/>
    <w:rsid w:val="00525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254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5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256</Words>
  <Characters>1465</Characters>
  <Application>Microsoft Office Word</Application>
  <DocSecurity>0</DocSecurity>
  <Lines>12</Lines>
  <Paragraphs>3</Paragraphs>
  <ScaleCrop>false</ScaleCrop>
  <Company>Sky123.Org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2014-05-06T08:14:00Z</dcterms:created>
  <dcterms:modified xsi:type="dcterms:W3CDTF">2014-05-29T03:29:00Z</dcterms:modified>
</cp:coreProperties>
</file>