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4A" w:rsidRPr="0018174A" w:rsidRDefault="0018174A" w:rsidP="0018174A">
      <w:pPr>
        <w:widowControl/>
        <w:shd w:val="clear" w:color="auto" w:fill="FAF9F1"/>
        <w:jc w:val="left"/>
        <w:rPr>
          <w:rFonts w:ascii="Arial" w:eastAsia="宋体" w:hAnsi="Arial" w:cs="Arial"/>
          <w:color w:val="827C66"/>
          <w:kern w:val="0"/>
          <w:sz w:val="52"/>
          <w:szCs w:val="40"/>
        </w:rPr>
      </w:pPr>
      <w:r w:rsidRPr="0018174A">
        <w:rPr>
          <w:rFonts w:ascii="Arial" w:eastAsia="宋体" w:hAnsi="Arial" w:cs="Arial"/>
          <w:b/>
          <w:bCs/>
          <w:color w:val="827C66"/>
          <w:kern w:val="0"/>
          <w:sz w:val="52"/>
        </w:rPr>
        <w:t>炉内喷钙（石灰石）烟气脱硫系统</w:t>
      </w:r>
    </w:p>
    <w:p w:rsidR="0018174A" w:rsidRDefault="0018174A" w:rsidP="0018174A">
      <w:pPr>
        <w:widowControl/>
        <w:spacing w:line="330" w:lineRule="atLeast"/>
        <w:jc w:val="left"/>
        <w:rPr>
          <w:rFonts w:ascii="Arial" w:eastAsia="宋体" w:hAnsi="Arial" w:cs="Arial" w:hint="eastAsia"/>
          <w:color w:val="000000"/>
          <w:kern w:val="0"/>
          <w:sz w:val="28"/>
          <w:szCs w:val="21"/>
        </w:rPr>
      </w:pPr>
      <w:r w:rsidRPr="0018174A">
        <w:rPr>
          <w:rFonts w:ascii="Arial" w:eastAsia="宋体" w:hAnsi="Arial" w:cs="Arial"/>
          <w:noProof/>
          <w:color w:val="000000"/>
          <w:kern w:val="0"/>
          <w:sz w:val="28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596265</wp:posOffset>
            </wp:positionV>
            <wp:extent cx="2682875" cy="1733550"/>
            <wp:effectExtent l="19050" t="0" r="3175" b="0"/>
            <wp:wrapTight wrapText="bothSides">
              <wp:wrapPolygon edited="0">
                <wp:start x="-153" y="0"/>
                <wp:lineTo x="-153" y="21363"/>
                <wp:lineTo x="21626" y="21363"/>
                <wp:lineTo x="21626" y="0"/>
                <wp:lineTo x="-153" y="0"/>
              </wp:wrapPolygon>
            </wp:wrapTight>
            <wp:docPr id="1" name="图片 1" descr="http://www.vertinfo.com/img/image1103/1227-201161615515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rtinfo.com/img/image1103/1227-2011616155159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 xml:space="preserve">1) 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用途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干式喷钙烟气脱硫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系统主要适用于燃煤炉发电厂中小型锅炉脱硫用。该系统主要任务是完成物料输送、计量、送粉量调节、炉内喷射，从而使石灰石粉在炉内锻烧分解，利用生成的</w:t>
      </w:r>
      <w:proofErr w:type="spell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CaO</w:t>
      </w:r>
      <w:proofErr w:type="spell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与炉内烟气中的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SO2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进行反应实现炉内脱硫。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 xml:space="preserve">2) 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原理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将石灰石粉磨至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150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目左右，用压缩空气喷射到炉内最佳温度区，并使脱硫剂石灰石与烟气有良好的接触和反应时间，石灰石受热分解成氧化钙和二氧化碳，再与烟气中二氧化硫，反应生成亚硫酸钙和硫酸钙，最终被氧化成硫酸钙。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 xml:space="preserve">3) 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特点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该系统具有配置简洁、能耗低、无污染、自动化程度高、操作简单、占用空间小、投资省、脱硫效率高。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适用于燃中低硫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煤，也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可用于燃高硫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煤。能以合理的钙硫比（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Ca/S≤2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），得到较高的脱硫率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80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～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95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％；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吸着剂为石灰石（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CaC3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），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等钙基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物料，资源广，价格便宜，脱硫渣为中性固态渣，无二次污染。</w:t>
      </w:r>
    </w:p>
    <w:p w:rsidR="002D25DC" w:rsidRPr="0018174A" w:rsidRDefault="0018174A" w:rsidP="0018174A">
      <w:pPr>
        <w:widowControl/>
        <w:spacing w:line="330" w:lineRule="atLeast"/>
        <w:jc w:val="left"/>
        <w:rPr>
          <w:rFonts w:ascii="Arial" w:eastAsia="宋体" w:hAnsi="Arial" w:cs="Arial" w:hint="eastAsia"/>
          <w:color w:val="000000"/>
          <w:kern w:val="0"/>
          <w:sz w:val="28"/>
          <w:szCs w:val="21"/>
        </w:rPr>
      </w:pP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lastRenderedPageBreak/>
        <w:t xml:space="preserve">4) 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系统简介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1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干式喷钙烟气脱硫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系统主要是由储料仓、浓相正压气力输送系统、炉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前仓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、喷吹系统、电气控制系统等组成。物料采用罐车压送到储料仓，再由浓相正压气力输送系统输送至炉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前仓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，最后经喷吹系统吹送入炉膛。整个系统采用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PLC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程序控制。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2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、储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料仓一般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布置在零米层，可储存一台炉三天的用量，下部设有流化装置及电加热器以防止石灰石粉结块，顶部设有脉冲布袋除尘器及压力真空释放阀。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3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、炉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前仓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布置在锅炉附近，实际为一缓冲仓，它接受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储料仓的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来料，依靠重力自流卸料。炉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前仓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顶部设有脉冲布袋除尘器、压力真空释放阀及库顶管箱，还设有高低料位，其下部还设有流化装置及电加热器以防止石灰石粉结块。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4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、输送系统是以空压机作为动力源，采用浓相正压气力输送系统，将物料从发送器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以灰气混合物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形式由管道输送至炉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前仓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。输送系统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由仓泵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、进出料阀、进气阀、管路、沿程助推器等组成。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5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、喷吹系统是以罗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茨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风机作为动力源，由罗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茨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风机、电加热器、管路、弯头、插板门、叶轮旋转给料机、石灰石喷射器、及控制电磁阀等组成。石灰石粉给料量由叶轮式旋转给料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阀通过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变频调速器根据锅炉燃烧需用量进行调整。叶轮式旋转给料机与罗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茨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风机采用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联锁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控制，即先启动罗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茨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风机，再投运炉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前仓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下的叶轮式旋转给料阀。当系统停运时，操作顺序相反。　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6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、主要技术参数：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气灰比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：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1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：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3.5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钙硫比：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2.5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：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1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脱硫效率：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80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～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95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％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</w:p>
    <w:p w:rsidR="0018174A" w:rsidRPr="0018174A" w:rsidRDefault="0018174A" w:rsidP="0018174A">
      <w:pPr>
        <w:widowControl/>
        <w:shd w:val="clear" w:color="auto" w:fill="FAF9F1"/>
        <w:jc w:val="left"/>
        <w:rPr>
          <w:rFonts w:ascii="Arial" w:eastAsia="宋体" w:hAnsi="Arial" w:cs="Arial"/>
          <w:color w:val="827C66"/>
          <w:kern w:val="0"/>
          <w:sz w:val="52"/>
          <w:szCs w:val="40"/>
        </w:rPr>
      </w:pPr>
      <w:r w:rsidRPr="0018174A">
        <w:rPr>
          <w:rFonts w:ascii="Arial" w:eastAsia="宋体" w:hAnsi="Arial" w:cs="Arial"/>
          <w:b/>
          <w:bCs/>
          <w:color w:val="827C66"/>
          <w:kern w:val="0"/>
          <w:sz w:val="52"/>
        </w:rPr>
        <w:lastRenderedPageBreak/>
        <w:t>氧化镁法烟气脱硫</w:t>
      </w:r>
    </w:p>
    <w:p w:rsidR="0018174A" w:rsidRPr="0018174A" w:rsidRDefault="0018174A" w:rsidP="0018174A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148590</wp:posOffset>
            </wp:positionV>
            <wp:extent cx="2828925" cy="2162175"/>
            <wp:effectExtent l="19050" t="0" r="9525" b="0"/>
            <wp:wrapTight wrapText="bothSides">
              <wp:wrapPolygon edited="0">
                <wp:start x="-145" y="0"/>
                <wp:lineTo x="-145" y="21505"/>
                <wp:lineTo x="21673" y="21505"/>
                <wp:lineTo x="21673" y="0"/>
                <wp:lineTo x="-145" y="0"/>
              </wp:wrapPolygon>
            </wp:wrapTight>
            <wp:docPr id="4" name="图片 3" descr="http://www.vertinfo.com/img/image1103/1227-2011616155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rtinfo.com/img/image1103/1227-20116161553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74A" w:rsidRPr="0018174A" w:rsidRDefault="0018174A" w:rsidP="0018174A">
      <w:pPr>
        <w:widowControl/>
        <w:spacing w:line="330" w:lineRule="atLeast"/>
        <w:jc w:val="left"/>
        <w:rPr>
          <w:rFonts w:ascii="Arial" w:eastAsia="宋体" w:hAnsi="Arial" w:cs="Arial"/>
          <w:color w:val="000000"/>
          <w:kern w:val="0"/>
          <w:sz w:val="28"/>
          <w:szCs w:val="21"/>
        </w:rPr>
      </w:pP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产品说明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氧化镁法是不少国家积极发展的一种烟气脱硫方法，氧化镁法烟气脱硫工艺具有投资少、吸收剂用量少、占地面积相对小、脱硫效率高等特点，脱硫效率可达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95%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以上。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氧化镁法烟气脱硫工艺按最终反映产物可分两种：其一产物为硫酸镁；另一种工艺为氧化镁再生法。氧化镁再生法工艺系统复杂，投资费用较高。目前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的镁法脱硫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多采用生成硫酸镁为最终产物的工艺。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 xml:space="preserve">　　生成硫酸镁的氧化镁法主要有三个工序组成：氧化镁浆液吸收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SO2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的吸收工序；</w:t>
      </w:r>
      <w:proofErr w:type="gramStart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亚硫酸镁氧化</w:t>
      </w:r>
      <w:proofErr w:type="gramEnd"/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工序；氧化产物的分离干燥工序。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b/>
          <w:color w:val="000000"/>
          <w:kern w:val="0"/>
          <w:sz w:val="28"/>
          <w:szCs w:val="21"/>
        </w:rPr>
        <w:t>氧化镁法脱硫工艺的特点</w:t>
      </w:r>
      <w:r w:rsidRPr="0018174A">
        <w:rPr>
          <w:rFonts w:ascii="Arial" w:eastAsia="宋体" w:hAnsi="Arial" w:cs="Arial"/>
          <w:b/>
          <w:color w:val="000000"/>
          <w:kern w:val="0"/>
          <w:sz w:val="28"/>
          <w:szCs w:val="21"/>
        </w:rPr>
        <w:br/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氢氧化镁吸收剂，可循环使用，氧化镁的补给量不大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不会发生结垢和堵塞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系统排放废水量小，基本无二次污染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br/>
        <w:t>•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吸收后得到高浓度的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SO2</w:t>
      </w:r>
      <w:r w:rsidRPr="0018174A">
        <w:rPr>
          <w:rFonts w:ascii="Arial" w:eastAsia="宋体" w:hAnsi="Arial" w:cs="Arial"/>
          <w:color w:val="000000"/>
          <w:kern w:val="0"/>
          <w:sz w:val="28"/>
          <w:szCs w:val="21"/>
        </w:rPr>
        <w:t>气体，适宜于制造硫酸或固态硫磺</w:t>
      </w:r>
      <w:r w:rsidRPr="0018174A">
        <w:rPr>
          <w:rFonts w:ascii="Arial" w:eastAsia="宋体" w:hAnsi="Arial" w:cs="Arial"/>
          <w:color w:val="000000"/>
          <w:kern w:val="0"/>
          <w:sz w:val="28"/>
        </w:rPr>
        <w:t> </w:t>
      </w:r>
    </w:p>
    <w:p w:rsidR="0018174A" w:rsidRPr="0018174A" w:rsidRDefault="0018174A">
      <w:pPr>
        <w:rPr>
          <w:sz w:val="28"/>
        </w:rPr>
      </w:pPr>
    </w:p>
    <w:sectPr w:rsidR="0018174A" w:rsidRPr="0018174A" w:rsidSect="0018174A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47" w:rsidRDefault="00F01A47" w:rsidP="0018174A">
      <w:r>
        <w:separator/>
      </w:r>
    </w:p>
  </w:endnote>
  <w:endnote w:type="continuationSeparator" w:id="0">
    <w:p w:rsidR="00F01A47" w:rsidRDefault="00F01A47" w:rsidP="001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47" w:rsidRDefault="00F01A47" w:rsidP="0018174A">
      <w:r>
        <w:separator/>
      </w:r>
    </w:p>
  </w:footnote>
  <w:footnote w:type="continuationSeparator" w:id="0">
    <w:p w:rsidR="00F01A47" w:rsidRDefault="00F01A47" w:rsidP="00181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74A"/>
    <w:rsid w:val="0018174A"/>
    <w:rsid w:val="002D25DC"/>
    <w:rsid w:val="00F0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74A"/>
    <w:rPr>
      <w:sz w:val="18"/>
      <w:szCs w:val="18"/>
    </w:rPr>
  </w:style>
  <w:style w:type="character" w:styleId="a5">
    <w:name w:val="Strong"/>
    <w:basedOn w:val="a0"/>
    <w:uiPriority w:val="22"/>
    <w:qFormat/>
    <w:rsid w:val="0018174A"/>
    <w:rPr>
      <w:b/>
      <w:bCs/>
    </w:rPr>
  </w:style>
  <w:style w:type="character" w:styleId="a6">
    <w:name w:val="Hyperlink"/>
    <w:basedOn w:val="a0"/>
    <w:uiPriority w:val="99"/>
    <w:semiHidden/>
    <w:unhideWhenUsed/>
    <w:rsid w:val="00181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174A"/>
  </w:style>
  <w:style w:type="paragraph" w:styleId="a7">
    <w:name w:val="Balloon Text"/>
    <w:basedOn w:val="a"/>
    <w:link w:val="Char1"/>
    <w:uiPriority w:val="99"/>
    <w:semiHidden/>
    <w:unhideWhenUsed/>
    <w:rsid w:val="001817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1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88888"/>
            <w:right w:val="none" w:sz="0" w:space="0" w:color="auto"/>
          </w:divBdr>
          <w:divsChild>
            <w:div w:id="2030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5596">
          <w:marLeft w:val="37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219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38380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  <w:div w:id="1852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88888"/>
            <w:right w:val="none" w:sz="0" w:space="0" w:color="auto"/>
          </w:divBdr>
          <w:divsChild>
            <w:div w:id="1607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245">
          <w:marLeft w:val="37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786">
              <w:marLeft w:val="0"/>
              <w:marRight w:val="0"/>
              <w:marTop w:val="0"/>
              <w:marBottom w:val="12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2" w:space="0" w:color="FFFFFF"/>
              </w:divBdr>
              <w:divsChild>
                <w:div w:id="18650987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27BE-2E96-4C28-873B-486818A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>微软中国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jiekes</dc:creator>
  <cp:keywords/>
  <dc:description/>
  <cp:lastModifiedBy>jiekes</cp:lastModifiedBy>
  <cp:revision>3</cp:revision>
  <dcterms:created xsi:type="dcterms:W3CDTF">2014-08-27T06:17:00Z</dcterms:created>
  <dcterms:modified xsi:type="dcterms:W3CDTF">2014-08-27T06:22:00Z</dcterms:modified>
</cp:coreProperties>
</file>